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izpratnē par papildinošo saimniecisko darbību uzskata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mērķa grupas mobilitātes nodrošināšanu pasākumos, kas ir tieši saistīti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pašvaldību autonomo funkciju īstenošanu un no tām izrietošo pārvaldes uzdevumu izpildi, piemēram: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kāda ir papildinošās saimnieciskās darbības definīcija un sasaisti ar šo noteikumu 10.punktā minēto mērķa grupu, un kādas šo noteikumu 6.punktā ir minētas pašvaldības autonomās funkcijas un no tām izrietošie pārvaldes uzdevumi, aicinām pārskatīt noteikumu 8.punktā minētos piemērus papildinošai saimnieciskajai darbībai un precizēt noteikumu 8.punktu, norādot korektu sasaisti ar noteikumu 6.punktu. Vēršam uzmanību, ka šo noteikumu 8.4. punktā minētais piemērs papildinošai saimnieciskajai darbībai nesaskan ar noteikumu 6.punktā minētajām pašvaldības autonomajām funkcijām, jo atšķiras galvenais nesaimnieciskais izmantojums un mērķa grupa. Aicinām atbilstoši precizēt anotācijā ietvertos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