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samaksas pārredzamības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likumprojektu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izvēlēto Direktīvas (ES) 2023/970 (turpmāk – Direktīva) transponēšanas risinājumu, paredzot jauna Darba samaksas pārredzamības likuma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regulējuma priekšmets pēc būtības ir darba tiesisko attiecību regulējums, nosakot darba devēja un nodarbinātā tiesības un pienākumus darba samaksas noteikšanā, darba samaksas sistēmu izveidē, informācijas sniegšanā, vienlīdzīgas darba samaksas principa nodrošināšanā, kā arī darba strīdu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jautājumi jau šobrīd ir regulēti darba tiesību sistēmā, galvenokārt Darba likumā, kā arī citos normatīvajos aktos. Vienlaikus no anotācijas nav gūstams pietiekams pamatojums, kādēļ Direktīvas prasību pārņemšanai izvēlēta jauna likuma izstrāde, nevis spēkā esošo normatīvo aktu pilnveidošana. Anotācijā detalizēti skaidrota Direktīvas prasību pārņemšana un atsevišķu normu saturs, taču nav izvērtētas alternatīvas Direktīvas transponēšanas iespējas, tostarp regulējuma ietveršana Darba likumā un citos spēkā esošajos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ievērojama daļa likumprojektā ietverto jautājumu jau ir regulēta spēkā esošajos normatīvajos aktos, izvēlētais risinājums rada normu dublēšanās risku un sarežģī tiesību sistēmu, jo darba tiesisko attiecību regulējums tiek sadalīts vairākos savstarpēji cieši saistītos normatīvajos aktos. Savukārt Direktīva nosaka sasniedzamo rezultātu, bet neparedz pienākumu dalībvalstij tās prasības pārņemt atsevišķā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būtu jāvērtē iespēja Direktīvas prasības pārņemt, izdarot grozījumus spēkā esošajos normatīvajos aktos, pirmkārt, Darba likumā, kā arī citos attiecīgajos normatīvajos aktos, ciktāl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10.07.2026. 23.13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10.07.2026. 23.13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