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zemākās darba samaksas likmes pieauguma grafiku laikposmam no 2026. gada 1. janvāra līdz 2030. gada 31. decembrim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akadēmiskā personāla zemāko mēnešalgas likmju paaugstināšanai papildu finansējums nepieciešams ne tikai 2028. gadā. Papildu finansējumu būtu nepieciešams rast jau 2027. gadā, lai nodrošinātu akadēmiskā personāla zemākās mēnešalgas likmes pieaugumu. Informatīvajā ziņojumā "Par augstākās izglītības institucionālās finansēšanas izmēģinājumprojektu" netika norādīts, ka ar šo projektu apropriācijas pārdale tiks izmantota akadēmiskā personāla zemāko mēnešalgas likmju paaugstināšanai, kā arī institucionālā finansējuma piešķiršana saistīta ar konkrētu IZM noteikto mērķu sasniegšanu, kas ierobežo augstskolu iespējas novirzīt jau ieplānotā rezultāta sasniegšanai paredzēto finansējumu akadēmiskā personāla atlīdzībai.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Atzinumi_25-TA-2747.docx</dc:title>
</cp:coreProperties>
</file>

<file path=docProps/custom.xml><?xml version="1.0" encoding="utf-8"?>
<Properties xmlns="http://schemas.openxmlformats.org/officeDocument/2006/custom-properties" xmlns:vt="http://schemas.openxmlformats.org/officeDocument/2006/docPropsVTypes"/>
</file>