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sniegts kvalitatīvs apraksts par ietekmi uz mērķa grupām, tomēr tas nav pietiekams, lai izpildītu Ministru kabineta 2021. gada 7. septembra noteikumu Nr. 617 “Tiesību akta projekta sākotnējās ietekmes izvērtēšanas kārtība” (turpmāk - noteikumi Nr. 617)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apvienoti gan kvalitatīvie, gan monetārie aspekti, bet nav veikta sistemātiska ietekmes strukturēšana un monetārs novērtējums atbilstošajās apakšsadaļās –  2.3. (juridiskām personām),  2.4. (fiziskām personām) un 2.5. (atbilstības prasību izmaksas). Ietekmes apraksts ir jāsadala atbilstoši mērķa grupām un jāprecizē, kura ietekme no projektā noteiktajām tiek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nodalīta ietekme uz valsts un pašvaldību iestādēm no privāto tiesību subjektiem, lai gan projektā paredzētās prasības attiecas arī uz publiskām ēkām un to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pārstrukturēt ietekmes izvērtējumu, atstājot kvalitatīvu aprakstu 2.1. apakšpunktā, bet monetāros aprēķinus norādot 2.2.–2.4.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nodalīt ietekmi uz valsts iestādēm, pārceļot izmaksu aprēķinus valsts/pašvaldību institūcijām uz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monetāro novērtējumu atbilstoši noteikumos Nr. 617 izvirzītajām prasībām un PSIM metodikai, nodalot administratīvās izmaksas un atbilstību prasību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ir norādīts atbilstības izmaksu monetārais novērtējums valsts un pašvaldību iestādēm. Norādām, ka sniegtais novērtējums nav izstrādāts atbilstoši Ministru kabineta 2021. gada 7. septembra noteikumu Nr. 617 “Tiesību akta projekta sākotnējās ietekmes izvērtēšanas kārtība”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nav nodalītas informācijas sniegšanas prasības no atbilstības prasībām. Tādējādi nav iespējams noteikt, kāda veida izmaksas ir vērtētas, un vai izvērtējums ir attiecināms uz administratīvā sloga vai atbilstības izmaksu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nav norādīti konkrēti noteikumu projekta punkti, par kuriem veikts aprēķins. Līdz ar to nav iespējams izsekot aprēķina sasaistei ar normatīvā akta saturu. Tāpat nav iespējams pārliecināties, vai visas ietekmes ir iekļautas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pilnveidot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atdalot informācijas sniegšanas pienākumus no atbilstības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norādot kuriem konkrētiem noteikumu projekta punktiem atbilst norādītās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pārdomāt mērķa formulējumu. Tiesību akta mērķim būtu jābūt vērstam uz pozitīvām izmaiņām, ko paredzēts panākt Latvijā, nevis tikai ieviest Eiropas Parlamenta un Padomes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direktīvas pārņemšana var būt pamatojums likuma izstrādei, pašā mērķa formulējumā būtu jāatspoguļo, kādus konkrētus uzlabojumus vai ieguvumus tās ieviešana radīs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12.02.2026.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12.02.2026.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