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 projekta īstenošanas personāla atlīdzības izmaksas un izmaksas, kas ir radušās uz darba līguma pamata,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darbu veikšanai, izņemot materiālu un iekārtu iegādi un būvdarbu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anotācijā veiktos precizējumus Ministru kabineta 2023. gada 12. decembra noteikumu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15.10. apakšpunktā, kas papildināts ar norādi uz izmaksām, kas radušās tieši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ņemot vērā, ka projekta īstenošanas personāla atlīdzības izmaksas sevī ietver arī izmaksas, kas radušās uz darba līguma pamata, lūdzam plašāk skaidrot šāda dalījuma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ja nepieciešams, konkretizēt arī 15.10.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22.04.2024.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22.04.2024.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Atzinumi_24-TA-607.docx</dc:title>
</cp:coreProperties>
</file>

<file path=docProps/custom.xml><?xml version="1.0" encoding="utf-8"?>
<Properties xmlns="http://schemas.openxmlformats.org/officeDocument/2006/custom-properties" xmlns:vt="http://schemas.openxmlformats.org/officeDocument/2006/docPropsVTypes"/>
</file>