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23-TA-1285: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4.2.2.1. pasākuma "Kvalitatīvas un mūsdienīgas izglītības īstenošana pirmsskolas, pamata un vidējās izglītības pakāpē"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Pilsoniskā alianse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Pilsoniskā alianse” (turpmāk – LPA) ir iepazinusies ar Izglītības un zinātnes ministrijas virzītajiem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4.2.2.1. pasākuma "Kvalitatīvas un mūsdienīgas izglītības īstenošana pirmsskolas, pamata un vidējās izglītības pakāpē" īstenošanas noteikumu projektu (turpmāk – Noteikumu projektu) un sniedz atzinumu.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Noteikuma projekta anotācijas sadaļā “Risinājuma apraksts” iekļaut arī biedrības un nodibinājumus, izsakot attiecīgo sadaļu šādās redakcijās: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finansējuma saņēmējs ir valsts pārvaldes iestāde (Valsts izglītības satura centrs), kas saskaņā ar Ministru kabineta 2009.gada 30.jūnija noteikumiem Nr.682 "Valsts izglītības satura centra nolikums" nodrošina mācību satura izstrādi vispārējā izglītībā un pārrauga tā īstenošanu,  atbilstoši kompetencei nodrošina sadarbību ar valsts un pašvaldību iestādēm un privātpersonām, kā arī sekmē</w:t>
            </w:r>
            <w:r w:rsidR="00000000" w:rsidRPr="00000000" w:rsidDel="00000000">
              <w:rPr>
                <w:b w:val="1"/>
                <w:rtl w:val="0"/>
              </w:rPr>
              <w:t xml:space="preserve"> biedrību un nodibinājumu</w:t>
            </w:r>
            <w:r w:rsidR="00000000" w:rsidRPr="00000000" w:rsidDel="00000000">
              <w:rPr>
                <w:rtl w:val="0"/>
              </w:rPr>
              <w:t xml:space="preserve"> un sociālo partneru iesaisti izglītībā.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sadarbības partneri – pašvaldības un valsts un citu juridisku personu dibinātas izglītības iestādes, kuras īsteno licencētas izglītības programmas pirmsskolas, pamata un vidējās izglītības pakāpē, un kurās mācās mērķa grupas izglītojamie, un neatkarīgi no dibinātāja īstenotajās izglītības programmās sasniedzamie rezultāti ir definēti vispārējās izglītības standartos visiem vienādi. Visas izglītības iestādes, kas īsteno attiecīgās izglītības programmas, tiks aicinātas saņemt atbalstu bērniem un jauniešiem pēc vienādiem principiem (izglītojamo skaita iepriekšējā mācību gadā),</w:t>
            </w:r>
            <w:r w:rsidR="00000000" w:rsidRPr="00000000" w:rsidDel="00000000">
              <w:rPr>
                <w:b w:val="1"/>
                <w:rtl w:val="0"/>
              </w:rPr>
              <w:t xml:space="preserve"> tostarp pasākumu īstenošanu nodrošinot sadarbībā ar biedrībām un nodibinājumiem</w:t>
            </w:r>
            <w:r w:rsidR="00000000" w:rsidRPr="00000000" w:rsidDel="00000000">
              <w:rPr>
                <w:rtl w:val="0"/>
              </w:rPr>
              <w:t xml:space="preserve">. Līdz ar to neviena no tām negūs ekonomiskas priekšrocības, t.sk. nekropļojot konkurenci Eiropas Savienības iekšējā tirgū.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Biedrības un nodibinājumi ilgstoši veic pilsoniskās kompetences stiprināšanas aktivitātes, tai skaitā ieviešot skolās dažādas pilsoniskās izglītības programmas, ilgstoši sadarbojoties ar izglītības iestādēm un aktīvi veicinot pilsoniskās līdzdalības prasmju attīstīšanu jauniešu vidū atbilstoši valsts izglītības standartos noteiktajam. Aicinām paredzēt, ka aktivitātes var iesniegt un kā sadarbības partneri var būt arī biedrības un nodibinājumi. Aicinām iesaistīt biedrības un nodibinājumus arī jaunās programmas izstrādē.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finansējuma saņēmējs ir valsts pārvaldes iestāde (Valsts izglītības satura centrs), kas saskaņā ar Ministru kabineta 2009.gada 30.jūnija noteikumiem Nr.682 "Valsts izglītības satura centra nolikums" nodrošina mācību satura izstrādi vispārējā izglītībā un pārrauga tā īstenošanu,  atbilstoši kompetencei nodrošina sadarbību ar valsts un pašvaldību iestādēm un privātpersonām, kā arī sekmē biedrību un nodibinājumu un sociālo partneru iesaisti izglītībā.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sadarbības partneri – pašvaldības un valsts un citu juridisku personu dibinātas izglītības iestādes, kuras īsteno licencētas izglītības programmas pirmsskolas, pamata un vidējās izglītības pakāpē, un kurās mācās mērķa grupas izglītojamie, un neatkarīgi no dibinātāja īstenotajās izglītības programmās sasniedzamie rezultāti ir definēti vispārējās izglītības standartos visiem vienādi. Visas izglītības iestādes, kas īsteno attiecīgās izglītības programmas, tiks aicinātas saņemt atbalstu bērniem un jauniešiem pēc vienādiem principiem (izglītojamo skaita iepriekšējā mācību gadā), tostarp pasākumu īstenošanu nodrošinot sadarbībā ar biedrībām un nodibinājumiem. Līdz ar to neviena no tām negūs ekonomiskas priekšrocības, t.sk. nekropļojot konkurenci Eiropas Savienības iekšējā tirgū.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Līna Austra Putāne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Finansējuma saņēmējs norises plāno šādā proporcijā: 75 procenti STEM jomā un 25 procenti pilsoniskajā līdzdalībā.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Pilsoniskā alianse” (turpmāk – LPA) ir iepazinusies ar Izglītības un zinātnes ministrijas virzītajiem 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4.2.2.1. pasākuma "Kvalitatīvas un mūsdienīgas izglītības īstenošana pirmsskolas, pamata un vidējās izglītības pakāpē" īstenošanas noteikumu projektu (turpmāk – Noteikumu projektu) un sniedz atzinumu.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izsvērt iespēju noteikumu projekta 28. punktu izteikt šādā redakcijā: </w:t>
            </w:r>
            <w:r w:rsidR="00000000" w:rsidRPr="00000000" w:rsidDel="00000000">
              <w:rPr>
                <w:b w:val="1"/>
                <w:rtl w:val="0"/>
              </w:rPr>
              <w:t xml:space="preserve">“Finansējuma saņēmējs norises plāno šādā proporcijā: 50 procenti STEM jomā un 50 procenti pilsoniskajā līdzdalībā.”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pilsoniskās līdzdalības būtisko lomu ikviena cilvēka un valsts kopējā attīstībā un labklājības veicināšanā, aicinām izsvērt iespēju, ka programmas ietvaros tiek piemērots vienlīdzīgs atbalsts gan STEAM, gan pilsoniskās līdzdalības aktivitātēm. Noteikumu projekta anotācijā tiek norādīts, ka starp Baltijas valstīm Latvijā ir zemākais jauniešu skaits, kuri iesaistās sabiedriskās aktivitātēs un tikai 8 % jauniešu uzskata, ka viņiem ir augstas iespējas ietekmēt lēmumus savā pašvaldībā, bet par iespējām ietekmēt lēmumus valsts līmenī pārliecināti ir tikai 5 % jauniešu. Šie dati norāda uz kritiski zemo jauniešu izpratni un vēlmi iesaistīties pilsoniskās līdzdalības aktivitātēs. LPA arī norāda, ka šobrīd kultūrizglītības veicināšanai programmā "Latvijas skolas soma" nav pieejamas pilsoniskās līdzdalības aktivitātes, kā tas tiek norādīts Noteikuma projekta anotācijā.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izsvērt iespēju noteikumu projekta 28. punktu izteikt šādā redakcijā: “Finansējuma saņēmējs norises plāno šādā proporcijā: 50 procenti STEM jomā un 50 procenti pilsoniskajā līdzdalībā.”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Līna Austra Putāne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23-TA-1285</w:t>
    </w:r>
    <w:r>
      <w:br/>
    </w:r>
    <w:r w:rsidR="00000000" w:rsidRPr="00000000" w:rsidDel="00000000">
      <w:rPr>
        <w:rtl w:val="0"/>
      </w:rPr>
      <w:t xml:space="preserve">Izdrukāts 21.11.2024. 18.47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23-TA-1285</w:t>
    </w:r>
    <w:r>
      <w:br/>
    </w:r>
    <w:r w:rsidR="00000000" w:rsidRPr="00000000" w:rsidDel="00000000">
      <w:rPr>
        <w:rtl w:val="0"/>
      </w:rPr>
      <w:t xml:space="preserve">Izdrukāts 21.11.2024. 18.47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Atzinumi_23-TA-1285.docx</dc:title>
</cp:coreProperties>
</file>

<file path=docProps/custom.xml><?xml version="1.0" encoding="utf-8"?>
<Properties xmlns="http://schemas.openxmlformats.org/officeDocument/2006/custom-properties" xmlns:vt="http://schemas.openxmlformats.org/officeDocument/2006/docPropsVTypes"/>
</file>