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23. aprīļa noteikumos Nr. 258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pie "Rādītāji" aicinām precizēt, ka rādītājs "līdz 2029. gada 31. decembrim:  atbalstu saņēmušo bērnu skaits vecumā līdz 18 gadiem – no 4000 uz 3300" sasniedzams 2.kārtas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Viāna Ruba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9.punktā izteiktais 27.2. apakšpunkts nosaka izņēmumu attiecībā uz instrukcijas "Ārvalstu finanšu instrumentu finansētu civiltiesisku līgumu izstrādes un slēgšanas instrukcija valsts tiešās pārvaldes iestādēs") (turpmāk - instrukcija) piemērošanu, tad lūdzam minēto izņēmumu saskaņot ar instrukcijas izstrādātāju.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ietvaros ietvert skaidrojumu par izstrādāto grozījumu ietekmi uz finansējuma saņēmējiem, ka arī to vai vienošanos par projekta īstenošanu būs nepieciešamas veikt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sarakstu ar </w:t>
            </w:r>
            <w:r w:rsidR="00000000" w:rsidRPr="00000000" w:rsidDel="00000000">
              <w:rPr>
                <w:rtl w:val="0"/>
              </w:rPr>
              <w:t xml:space="preserve">Valsts izglītības attīstības aģentūru kā potenciālo projekta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Viāna Ruba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21.2.6. Digitālā risinājuma (moduļa)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20.punktā, kurā tiek uzskaitītas visas pasākumā plānotās darbības, nav minēta šī ar grozījumiem pievienotā darbība “Digitālā risinājuma (moduļa) izstrāde”, kas attiecināma tikai 2. kārtas pasākumam. Lūdzam attiecīgi papildināt arī noteikumu 20. punktu, paredzot darbību “Digitālā risinājuma (moduļa) izstrāde” kā jaunu 20. punkta apakšdarbību, vai arī ar to papildinot jau kādu 20. punktā minēto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Viāna Ruba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tiešās attiecināmās personāla izmaksas, kuras veido šo noteikumu </w:t>
            </w:r>
            <w:r w:rsidR="00000000" w:rsidRPr="00000000" w:rsidDel="00000000">
              <w:rPr>
                <w:rtl w:val="0"/>
              </w:rPr>
              <w:t xml:space="preserve">20.5.</w:t>
            </w:r>
            <w:r w:rsidR="00000000" w:rsidRPr="00000000" w:rsidDel="00000000">
              <w:rPr>
                <w:rtl w:val="0"/>
              </w:rPr>
              <w:t xml:space="preserve"> apakšpunkt</w:t>
            </w:r>
            <w:r w:rsidR="00000000" w:rsidRPr="00000000" w:rsidDel="00000000">
              <w:rPr>
                <w:rtl w:val="0"/>
              </w:rPr>
              <w:t xml:space="preserve">ā minētās atbalstāmās darbības attiecināmās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pasākuma pirmajā kārtā plāno kā vienu izmaksu pozīciju – vienoto likmi 13 procentu apmērā no pārējām šo noteikumu </w:t>
            </w:r>
            <w:r w:rsidR="00000000" w:rsidRPr="00000000" w:rsidDel="00000000">
              <w:rPr>
                <w:rtl w:val="0"/>
              </w:rPr>
              <w:t xml:space="preserve">7.1.</w:t>
            </w:r>
            <w:r w:rsidR="00000000" w:rsidRPr="00000000" w:rsidDel="00000000">
              <w:rPr>
                <w:rtl w:val="0"/>
              </w:rPr>
              <w:t xml:space="preserve"> apakšpunktā minētajām projekta tiešajām attiecināmajām īstenošanas izmaksām, kas nav tiešās attiecināmās personāla izmaksas, pasākuma otrajā kārtā plāno  šo noteikumu 20.5. apakšpunktā minētās atbalstāmās darbības attiecināmās izmaksas kā faktiskās izmaksas. Minētās atbalstāmās darbības ietvaros ir attiecināmas finansējuma saņēmēja un sadarbības partnera projekta vadības personāla un īstenošanas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ja otrās kārtas ietvaros finansējuma saņēmēja un sadarbības partnera projekta vadības un īstenošanas personāla iesaiste projektā tiek nodrošināta saskaņā ar daļlaika izmaksu attiecināmības principu, attiecināma ir ne mazāka kā 30 procentu noslodze. Skaidrojam - tā kā 2. kārtas projektā personāla izmaksas paredzēts attiecināt kā faktiskās izmaksas retroaktīvi, no projekta sākuma datuma 01.01.2024., tad jāievēro šajā laika periodā spēkā esošajās Vadošās iestādes Attiecināmo izmaksu vadlīnijās noteiktie izmaksu attiecināmības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vienotai izpratnei lūdzam skaidrot, vai personāla veselības apdrošināšanas izmaksas, redzes korekcijas līdzekļu kompensācijas izmaksas un obligātās veselības pārbaudes izmaksas tiek plānotas kā netiešās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Viāna Ruba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 pasākumus interešu konflikta riska kontrolei atbalsta piešķiršanas procedūrā un publiskajos iepirkumos (preventīvus pasākumus un konstatēšanas pasākumus interešu konflikta riska kontrolei, t. sk. paziņošanas procedūru, labošanas pasākumus), tai skaitā ietverot informāciju par interešu konflikta novēršanu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w:t>
            </w:r>
            <w:r w:rsidR="00000000" w:rsidRPr="00000000" w:rsidDel="00000000">
              <w:rPr>
                <w:rtl w:val="0"/>
              </w:rPr>
              <w:t xml:space="preserve">1296/2013</w:t>
            </w:r>
            <w:r w:rsidR="00000000" w:rsidRPr="00000000" w:rsidDel="00000000">
              <w:rPr>
                <w:rtl w:val="0"/>
              </w:rPr>
              <w:t xml:space="preserve">, (ES)  </w:t>
            </w:r>
            <w:r w:rsidR="00000000" w:rsidRPr="00000000" w:rsidDel="00000000">
              <w:rPr>
                <w:rtl w:val="0"/>
              </w:rPr>
              <w:t xml:space="preserve">1301/2013</w:t>
            </w:r>
            <w:r w:rsidR="00000000" w:rsidRPr="00000000" w:rsidDel="00000000">
              <w:rPr>
                <w:rtl w:val="0"/>
              </w:rPr>
              <w:t xml:space="preserve">, (ES)  </w:t>
            </w:r>
            <w:r w:rsidR="00000000" w:rsidRPr="00000000" w:rsidDel="00000000">
              <w:rPr>
                <w:rtl w:val="0"/>
              </w:rPr>
              <w:t xml:space="preserve">1303/2013</w:t>
            </w:r>
            <w:r w:rsidR="00000000" w:rsidRPr="00000000" w:rsidDel="00000000">
              <w:rPr>
                <w:rtl w:val="0"/>
              </w:rPr>
              <w:t xml:space="preserve">, (ES)  </w:t>
            </w:r>
            <w:r w:rsidR="00000000" w:rsidRPr="00000000" w:rsidDel="00000000">
              <w:rPr>
                <w:rtl w:val="0"/>
              </w:rPr>
              <w:t xml:space="preserve">1304/2013</w:t>
            </w:r>
            <w:r w:rsidR="00000000" w:rsidRPr="00000000" w:rsidDel="00000000">
              <w:rPr>
                <w:rtl w:val="0"/>
              </w:rPr>
              <w:t xml:space="preserve">, (ES)  </w:t>
            </w:r>
            <w:r w:rsidR="00000000" w:rsidRPr="00000000" w:rsidDel="00000000">
              <w:rPr>
                <w:rtl w:val="0"/>
              </w:rPr>
              <w:t xml:space="preserve">1309/2013</w:t>
            </w:r>
            <w:r w:rsidR="00000000" w:rsidRPr="00000000" w:rsidDel="00000000">
              <w:rPr>
                <w:rtl w:val="0"/>
              </w:rPr>
              <w:t xml:space="preserve">, (ES)  </w:t>
            </w:r>
            <w:r w:rsidR="00000000" w:rsidRPr="00000000" w:rsidDel="00000000">
              <w:rPr>
                <w:rtl w:val="0"/>
              </w:rPr>
              <w:t xml:space="preserve">1316/2013</w:t>
            </w:r>
            <w:r w:rsidR="00000000" w:rsidRPr="00000000" w:rsidDel="00000000">
              <w:rPr>
                <w:rtl w:val="0"/>
              </w:rPr>
              <w:t xml:space="preserve">, (ES)  </w:t>
            </w:r>
            <w:r w:rsidR="00000000" w:rsidRPr="00000000" w:rsidDel="00000000">
              <w:rPr>
                <w:rtl w:val="0"/>
              </w:rPr>
              <w:t xml:space="preserve">223/2014</w:t>
            </w:r>
            <w:r w:rsidR="00000000" w:rsidRPr="00000000" w:rsidDel="00000000">
              <w:rPr>
                <w:rtl w:val="0"/>
              </w:rPr>
              <w:t xml:space="preserve">, (ES)  </w:t>
            </w:r>
            <w:r w:rsidR="00000000" w:rsidRPr="00000000" w:rsidDel="00000000">
              <w:rPr>
                <w:rtl w:val="0"/>
              </w:rPr>
              <w:t xml:space="preserve">283/2014</w:t>
            </w:r>
            <w:r w:rsidR="00000000" w:rsidRPr="00000000" w:rsidDel="00000000">
              <w:rPr>
                <w:rtl w:val="0"/>
              </w:rPr>
              <w:t xml:space="preserve"> un Lēmumu 541/2014/ES un atceļ Regulu (ES, </w:t>
            </w:r>
            <w:r w:rsidR="00000000" w:rsidRPr="00000000" w:rsidDel="00000000">
              <w:rPr>
                <w:i w:val="1"/>
                <w:rtl w:val="0"/>
              </w:rPr>
              <w:t xml:space="preserve">Euratom</w:t>
            </w:r>
            <w:r w:rsidR="00000000" w:rsidRPr="00000000" w:rsidDel="00000000">
              <w:rPr>
                <w:rtl w:val="0"/>
              </w:rPr>
              <w:t xml:space="preserve">) 966/2012, 61.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Eiropas Parlamenta un Padomes 2024. gada 23. septembra Regula (ES, Euratom) 2024/2509 par finanšu noteikumiem, ko piemēro Savienības vispārējam budžetam (pārstrādāta redakcija) (turpmāk - Regula 2024/2509).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Lūdzam atbilstoši precizēt atsauci noteikumu projekta 27.1.1.  un 27.7. apakšpunktā uz aktuālo Regulu 2024/2509.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Regulas 2024/2509 279. pantu atsauces uz atcelto regulu uzskata par atsaucēm uz Regulu 2024/2509, un tās lasa saskaņā ar atbilstības tabulu Regulas 2024/2509 II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25-TA-536</w:t>
    </w:r>
    <w:r>
      <w:br/>
    </w:r>
    <w:r w:rsidR="00000000" w:rsidRPr="00000000" w:rsidDel="00000000">
      <w:rPr>
        <w:rtl w:val="0"/>
      </w:rPr>
      <w:t xml:space="preserve">Izdrukāts 26.05.2025. 20.58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25-TA-536</w:t>
    </w:r>
    <w:r>
      <w:br/>
    </w:r>
    <w:r w:rsidR="00000000" w:rsidRPr="00000000" w:rsidDel="00000000">
      <w:rPr>
        <w:rtl w:val="0"/>
      </w:rPr>
      <w:t xml:space="preserve">Izdrukāts 26.05.2025. 20.58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Atzinumi_25-TA-536.docx</dc:title>
</cp:coreProperties>
</file>

<file path=docProps/custom.xml><?xml version="1.0" encoding="utf-8"?>
<Properties xmlns="http://schemas.openxmlformats.org/officeDocument/2006/custom-properties" xmlns:vt="http://schemas.openxmlformats.org/officeDocument/2006/docPropsVTypes"/>
</file>