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neformāli izteiktos konceptuālos iebildumus. Lai turpinātu nacionālo programmas saskaņošanas procesu, ir jābūt skaidrībai par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ir veikti būtiski MKN projekta redakcijas precizējumi, lūdzam atkārtoti iesūtīt MKN projekta un anotācijas tulkojumu angļu valodā, lai nodrošinātu tā saskaņošanu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lūdzam EK sagatavot skaidrojumus angļu valodā, kas ir jāsaprot ar sadarbības tīklu programmu un kāda ir tās sasaiste ar jaunajiem inovāciju klasteriem, ņemot vērā to, ka AF plānā sadarbības tīklu aktivitātes bija plānotas jauno inovāciju klasteru ietvaros. Lūdzam skaidri iezīmēt visu kopējo 5.1.1.2.i. investīcijas ieviešanas shēmu sadalījumā pa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sagatavot atbildes uz 08.03.2023. saņemtajiem EK komentāriem par MKN projektu, t.sk. lūdzam ieviest skaidrību par izmantotajiem terminiem un jautāt EK, vai tiešām CID rādītāju Nr.158 "Apstiprināti projekti par vismaz 98 miljoniem EUR no finansējuma" drīkst attiecināt arī uz sadarbības tīklu programmu un IPCEI programmu, vai tikai uz jauno inovāciju klasteru programmu, ņemot vērā to, ka katras programmas ietvaros ir runa par atšķirīgiem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izvērtēt valsts pārvaldes lomu lēmumu pieņemšanā par projektu apstiprināšanu atbilstoši auditoru ieteikumiem (atbilstoši audita 20.06.2023. sanāksmes protokolā "Minutes of the meeting between the Latvian authorities and the European Commission services on the follow-up of audit nr. DAC514LV1050"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noteikumu projekta 2.punktā ieviestos terminus attiecībā uz Regulas Nr.651/2014 definīcijām, jo noteikumu projektā nav paredzēts piešķirt atbalstu saskaņā ar šo regulu, kā arī nav izvirzīti nekādi priekšnosacījumi vai diferencēti atbalsta saņemšanas priekšnosacījumi atkarībā no MVU kategorijas. Lūdzu dzēst nevajadzīgos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 ir Latvijas Republikā vai citā valstī reģistrēta juridiska persona, kura iesniedz projekta iesniegumu un atbilst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“vai citā valstī”, lai neveidotos pretruna ar 19.1.apakšpunktu, kurā noteikts, ka projekta iesniedzējs “ir reģistrēts Latvijas Republikas Uzņēmumu reģistra biedrību un nodibinājumu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sadarbības tīkls ir atbildīgs par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(viens finansējuma saņēmējs) nevar būt atbildīgs par kopējiem rādītājiem. Lūdzam precizēt vai dzēst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Aģentūrai, papildus, Ministru kabineta 2021. gada 7. septembra noteikumu Nr. 621 "Eiropas Savienības Atveseļošanas un noturības mehānisma plāna īstenošanas un uzraudzības kārtība"  (turpmāk  – noteikumi Nr. 621) 2. un 9. punktā noteiktajam,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ar apakšpunktiem, ņemot vērā, ka, ja tiek paredzēts, ka CFLA veic projektu atlasi, to nav iespējams veikt neizstrādājot projektu iesniegumu atlases nolikumu, līdz ar to nav nepieciešams CFLA uzlikt vēl šādu pienākumu MK noteikumos, savukārt attiecībā uz CFLA izlases veida pārbaudēm- pārbaužu tvērums ir noteikts MK noteikumos Nr.621 un nav nepieciešams dublēt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komercdarbības atbalsta nosacījumu ievērošanas pārbaudes sadarbības tīklam attiecībā uz komerdarbības atbalsta piešķiršanu sadarbības tīkla dalībniekam;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noteikumiem Nr.621, CFLA neveic komercdarbības atbalsta nosacījumu ievērošanas pārbaudes tiem atbalsta saņēmējiem, kuriem CFLA nepiešķir komercdarbības atbalstu. Lūdzu precizēt 17.2.3.apakšpunktu paredzot, ka CFLA nodrošina komercdarbības atbalsta nosacījumu ievērošanas pārbaudes attiecībā uz komercdarbības atbalsta piešķiršanu sadarbības tīklam (finansējuma saņēmējam).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iekšējās kontroles sistēmas (iekšējo kārtību) aprakstu, ietverot tajā informāciju par interešu konflikta saskaņā ar Komisijas 2018. gada 18. jūlija Regulas (ES) Nr. 2018/1046 par finanšu noteikumiem, ko piemēro Eiropas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krāpšanas, korupcijas risku un dubultā finansējuma novēršanas mehānismu, vienlaikus ievērojot caurspīdīguma un vienlīdzības principus, lai Atveseļošanas fonda finansējuma ietvaros nepieļautu dubultā finansējuma situāciju pret Eiropas Savienības kohēzijas politikas programmu 2021.–2027.gadam un Eiropas Savienības struktūrfondu un Kohēzijas fonda 2014.–2020.gada plānošanas perioda darbības programmu "Izaugsme un nodarbinātība";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21.4.apakšpunktu, ka dubultfinansējuma risks neiestājas arī pret citiem ārvalstu finanšu instrumentiem. Attiecīgu precizējumu lūdzam veikt arī pie noteikumu projekta 53.3.apakšpunkta.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Lai nodrošinātu investīcijas atbilstību principam “nenodarīt būtisku kaitējumu” piemērošanu saskaņā ar Eiropas Parlamenta un Padomes 2021. gada 12. februāra Regulas (ES) 2021/241, ar ko izveido Atveseļošanas un noturības mehānismu  (turpmāk – Komisijas regulas Nr. 2021/241) 2. panta 6. punktu, investīcijas ietvaros Atveseļošanas fonda finansējumu nepiešķir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šis nosacījums netiek ietverts vērtēšanas kritērijos.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projekta iesniedzēju un sadarbības tīkla dalībnieku nav attiecināms jebkurš no šādiem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pēc līdzības ar ES fondu vadības likumā noteikto "Aģentūra noraida projekta iesniegumu, ja uz projekta iesniedzēju vai sadarbības tīkla dalībnieku attiecināms jebkurš no šādiem izslēgšanas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Aģentūras pieņemto lēmumu par projekta iesniegumu var apstrīdēt Finanšu ministrijā. Finanšu ministrijas izdoto lēmumu var pārsūdzēt Administratīvā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29.punktu ar vārdiem "Administratīvā procesa likumā noteiktā kārtībā" aiz vārda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Lēmumu par projekta iesnieguma apstiprināšanu pieņem, ja ir izpildīti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23.punktu: "uz projekta iesniedzēju nav attiecināms neviens no šo noteikumu 23.punktā minētajiem izslēgšanas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Lēmumu par projekta iesnieguma noraidīšanu pieņem, ja ir iestājies vismaz viens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19.un 23.punktu: “ja projekta iesniedzējs neatbilst šo noteikumu 19.punkta nosacījumiem vai uz projekta iesniedzēju attiecināms kāds no šo noteikumu 23.punktā minētajiem izslēgšanas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 Aģentūrai ir pienākums izvērtēt atlikušo finansējumu un aicināt projekta iesniedzēju pārskatīt projekta iesniegumu, palielinot aktivitāšu skaitu un finansējumu. Ja projekta iesniedzējs neizrāda interesi un nepalielina aktivitāšu skaitu un finansējumu, Aģentūrai ir tiesības rīkot jaunu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un tajā noteiktos pienākumus attiecināt uz Nozares ministriju nevis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38.2.1. ārējo pakalpojumu izmaksas – starptautisku inovāciju programmu izstrāde, juridiskie, grāmatvedības, testēšanas un izstrādes, projektu vadības, lietvedības un tulkošanas pakalpojumi, kurus sadarbības tīkla dalībnieks iepērk no trešajām personām, ja attiecīgie pakalpojumi tiek izmantoti sadarbības tīkla darbību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apakšpunktu, jo 38.2.punkts ir sadarbības dalībnieka izmaksas nevis sadarbības tīkla izmaksas, jo nav saprotama šo attiecināmo izmaksu piemērošana, piemēram, sadarbības tīkla dalībnieks SIA "A" iepirks un apmaksās grāmatvedības pakalpojumu, lai nodrošinātu grāmatvedību pašam sadarbības tīklam, tas ir, biedrībai.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līdz līguma parakstīšanai par aktivitāšu īstenošanu izstrādāt iekšējās kontroles sistēmu (iekšējo kārtību), ietverot tajā informāciju par interešu konfliktu, saskaņā ar Komisijas regulas Nr. 2018/1046 61. pantu, krāpšanas, korupcijas risku un dubultā finansējuma novēršanas mehānismu, vienlaikus ievērojot caurspīdīguma un vienlīdzības principus, lai Atveseļošanas fonda finansējuma ietvaros nepieļautu dubultā finansējuma situāciju pret Eiropas Savienības kohēzijas politikas programmu 2021.–2027.gadam un Eiropas Savienības struktūrfondu un Kohēzijas fonda 2014.–2020.gada plānošanas perioda darbības programmu "Izaugsme un nodarbinātība" un, ja nepieciešams, veicot atbilstošus korekcijas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divu līmeņu atbalsta projekts, kurā finanšu saņēmējs (komercreģistros reģistrēta juridiska persona) nodrošina valsts atbalsta piešķiršanu gala saņēmējiem, kas nav projekta finansējuma saņēmēji un pieņem lēmumu par atbalsta piešķiršanu, tādējādi finanšu saņēmējam atbalsta piešķiršanas procesā jānodrošina Eiropas Parlamenta un Padomes  2018. 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61.panta prasību izpilde. Iekšējās kontroles sistēmas prasības publiskas personas institūcijām ir noteiktas Ministru kabineta 2017. gada 17. oktobra noteikumos Nr. 630 "Noteikumi par iekšējās kontroles sistēmas pamatprasībām korupcijas un interešu konflikta riska novēršanai publiskas personas institūcijā" (turpmāk - noteikumi Nr. 630), savukārt komercreģistros reģistrētām juridiskām personām šīs prasības nav saistošas. Lai nodrošinātu  caurskatāmas un  regulas Nr. 2018/1046 61.panta prasībām atbilstošas iekšējās kontroles sistēmas ieviešanu finansējuma saņēmēja darbībā šo MK noteikumu kontekstā, rosinām pārveidot 53.3. punkta redakciju nosakot izveidot iekšējās kontroles sistēmu korupcijas un interešu konflikta riska novēršanai, nosakot finansējuma saņēmējam ievērot līdzvērtīgu prasību apjomu kā noteikts publiskas personas institūcijām noteikumos Nr. 630.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līdz projekta iesnieguma iesniegšanas izstrādāt iekšējās kontroles sistēmu korupcijas un interešu konflikta riska novēršanai (iekšējo kārtību), ietverot tajā: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53.3.1. preventīvus pasākumus un konstatēšanas pasākumus interešu konflikta riska kontrolei, t. sk. paziņošanas procedūru, labošanas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52.3.3.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52.3.4.    dubultā finansējuma novēršanas, tai skaitā pret Eiropas Savienības kohēzijas politikas programmu 2021.–2027.gadam un Eiropas Savienības struktūrfondu un Kohēzijas fonda 2014.–2020.gada plānošanas perioda darbības programmu "Izaugsme un nodarbinātība"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52.3.5.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52.3.6.    ētikas kodeksa un procedūru disciplināratbildības piemērošanai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ziņošanas mehānisma kompetentajām iestādēm par potenciālu administratīvu vai kriminālatbildību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52.3.8.    trauksmes celšanas sistēmas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Krišlauka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53.18. sniegt projekta iesniegumā informāciju, apliecinājuma veidā, vai ir plānots vai jau iesniegts projekta iesniegums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šis punkts būtu papildināms arī attiecībā uz Kohēzijas programmas 1.2.1.1. pasākuma “Atbalsts jaunu produktu attīstībai un internacionalizācijai” 2.kārtu.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Sadarbības tīkls līdz 2026.gada 30.jūlijam iesniedz Vadības informācijas sistēmā noslēguma maksājuma pieprasījumu par atlikušo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noslēguma maksājuma pieprasījuma iesniegšanas termiņu uz 2026. gada 30. jūniju, ņemot vērā, ka ir nepieciešami vismaz divi mēneši noslēguma dokumentācijas pārbaudei un maksājumu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Sadarbības tīkla projekta īstenošanas un projekta vadības personāls, kā arī personas, kuras pieņem lēmumu par komercdarbība atbalsta piešķiršanu sadarbības tīkla dalībniekam, pirms vērtēšanas procesa uzsākšanas paraksta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esošo objektivitātes, konfidencialitātes un interešu konflikta neesamības apliecinājumu. Apliecinājumu paraksta pirms Atveseļošanas fonda projekta pieteikuma iesniegšanas, atbilstoši Komisijas regulas Nr. 2018/1046 61. pantam. Apliecinājumu sadarbības tīkls glabā atbilstoši Komisijas regulas Nr. 2018/1046 132. pantam un šo noteikumu </w:t>
            </w:r>
            <w:r w:rsidR="00000000" w:rsidRPr="00000000" w:rsidDel="00000000">
              <w:rPr>
                <w:rtl w:val="0"/>
              </w:rPr>
              <w:t xml:space="preserve">82.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vārdus "pirms Atveseļošanas fonda projekta pieteikuma iesniegšanas"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attiecībā uz sadarbības tīkla dalībniekam piešķirto atbalstu ir pārkāptas komercdarbības atbalsta kontroles normas, tostarp nosacījumus, kas izriet no Komisijas regulas Nr.1407/2013, sadarbības tīkla dalībniekam ir pienākums atmaksāt sadarbības tīklam visu projekta ietvaros saņemto de minimis atbalstu kopā ar procentiem no līdzekļiem, kas ir brīvi no komercdarbības atbalsta, atbilstoši Komercdarbības atbalsta kontroles likuma IV vai V nodaļas nosacījumiem. Sadarbības tīkls saņemto komerdarbības atbalstu Aģentūrai atmaksā no privātā finansējuma, par kuru nav saņemts nekāds komercdarbības atbalsts. Minētajā gadījumā sadarbības tīklam ir tiesības no sadarbības tīkla dalībnieka saņemt kompensāciju atmaksātā nelikumīgā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papildināt ar nelikumīga komercdarbības atbalsta atgūšanas normu attiecībā uz sadarbības tīklam piešķirto atbalstu, ja ir pārkāptas komercdarbības atbalsta kontroles normas. Vienlaikus ar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attiecībā uz sadarbības tīkla dalībniekam piešķirto atbalstu ir pārkāptas komercdarbības atbalsta kontroles normas, tostarp nosacījumus, kas izriet no Komisijas regulas Nr.1407/2013, sadarbības tīkla dalībniekam ir pienākums atmaksāt sadarbības tīklam visu projekta ietvaros saņemto de minimis atbalstu kopā ar procentiem no līdzekļiem, kas ir brīvi no komercdarbības atbalsta, atbilstoši Komercdarbības atbalsta kontroles likuma IV vai V nodaļas nosacījumiem. Sadarbības tīkls saņemto komerdarbības atbalstu Aģentūrai atmaksā no privātā finansējuma, par kuru nav saņemts nekāds komercdarbības atbalsts. Minētajā gadījumā sadarbības tīklam ir tiesības no sadarbības tīkla dalībnieka saņemt kompensāciju atmaksātā nelikumīgā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šo normu tā, lai skaidrs, ka nevis Aģentūra gaida, kamēr no sadarbības tīkla dalībnieka tiek atgūts nelikumīgs komercdarbības atbalsts, bet gan sadarbības tikls atmaksā Aģentūrai nelikumīgo komercdarbības atbalstu un pēc tam kārto savas saistības ar sadarbības tīkla dalībnieku. Piedāvājam izvērtēt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attiecībā uz sadarbības tīkla dalībniekam piešķirto atbalstu ir pārkāptas šajos noteikumos noteiktās komercdarbības atbalsta kontroles normas, tostarp nosacījumi, kas izriet no Komisijas regulas Nr.1407/2013, sadarbības tīklam ir pienākums atmaksāt Aģentūrai visu projekta ietvaros saņemto de minimis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pielikumā ir ietverti vairāki kritēriji, kuri Atveseļošanas fonda investīciju īstenošanas kontekstā nav jēgpilni – rosinām tos pārskatīt un saglabāt tikai būtiskus, rezultātu atbilstības nodrošināšanai nepieciešamus, nevis formālus kritērijus. Centrālā finanšu un līgumu aģentūra aicina uz konsultāciju par kritēriju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pārskatīt aprakstu par CID rādītāja "apstiprināti projekti" sadalījumu pa kārtām - piemēram, mērķim nav norādīta informācija par IPCEI programmu, kā arī ne visur sakrīt kopsummas. Aicinām šo informāciju norādīt tabulas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neiekļaut anotācijā atsauci uz CID grozījumiem, jo ir veikti precizējumi izmaiņu priekšlikumā, par kuriem vēl nav panākta vienošanās ar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"un sadarbības tīkla dalībniekiem" atbilstoši noteikumu projekt II nodaļā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tīkls – atbalsta finansējuma saņēmējs, kas ir biedrība vai nodibinājums, kas apvieno sadarbības tīkla dalībniekus, kuras darbojas savstarpēji saistītās nozarēs, tautsaimniecības nišās, produkta vai pakalpojuma grupās, vērtības ķēdēs vai reģionā, specializējoties kādā no Viedās specializācijas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nepeiciešamības gadījumā papildināt ar atsauci uz noteikuma projekta 50. punktu, kurā tiek norādīts, kas ir šīs "Viedās specializācijas jomas".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tīkls – atbalsta finansējuma saņēmējs, kas ir biedrība vai nodibinājums, kas apvieno sadarbības tīkla dalībniekus, kuras darbojas savstarpēji saistītās nozarēs, tautsaimniecības nišās, produkta vai pakalpojuma grupās, vērtības ķēdēs vai reģionā, specializējoties kādā no Viedās specializācijas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saprotams ar terminu "atbalsta finansējuma saņēmējs" , vēršam uzmanību, ka atbilstoši noteikumu projekta 46. punkta sadarbības tīkls ir finansējuma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termiņu, līdz kuram ir jābūt sasniegtiem nacionālajiem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15.4.1. piesaistīts privātais līdzfinansējums 926 tūkst.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normatīvo aktu izstrādes prasības, lūdzam norādīt noteikumu projekta 15.4.1.punktā finansējuma apmēru pilnos skaitļos.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nodrošināt uzraudzību un risku pārvaldību;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norādot konkrētu Nozares ministrijas pienākumu attiecībā uz uzraudzību un risku pārvaldību.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nodrošināt investīcijas, nacionālo rādītāju uzraudzību un risku pārvaldību;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16.4.apakšpunktā vārdus "un risku pārvaldību", kas dublē noteikumu projekta 16.2.apakšpunktā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Projektu iesniegumu vērtēšanas komisija projektu iesniegumu atlases termiņā saņemtos projektu iesniegumus vērtē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iekļautajiem projektu iesniegumu vērtēšanas kritērijiem, tostarp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 noteikto projektu iesniegumu rindošanas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papildināt noteikumu projekta 27.punktu ar vārdu "ievēro" vai "nodrošina" aiz vārda "tostarp".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Lēmumu par projekta iesnieguma apstiprināšanu pieņem, ja ir izpildīti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30. punkta ievadu ar vārdu "Aģentūra" pirms vārda "pieņem".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katrām plānotajām šo noteikumu </w:t>
            </w:r>
            <w:r w:rsidR="00000000" w:rsidRPr="00000000" w:rsidDel="00000000">
              <w:rPr>
                <w:rtl w:val="0"/>
              </w:rPr>
              <w:t xml:space="preserve">38.1.7.</w:t>
            </w:r>
            <w:r w:rsidR="00000000" w:rsidRPr="00000000" w:rsidDel="00000000">
              <w:rPr>
                <w:rtl w:val="0"/>
              </w:rPr>
              <w:t xml:space="preserve"> un </w:t>
            </w:r>
            <w:r w:rsidR="00000000" w:rsidRPr="00000000" w:rsidDel="00000000">
              <w:rPr>
                <w:rtl w:val="0"/>
              </w:rPr>
              <w:t xml:space="preserve">38.2.2.</w:t>
            </w:r>
            <w:r w:rsidR="00000000" w:rsidRPr="00000000" w:rsidDel="00000000">
              <w:rPr>
                <w:rtl w:val="0"/>
              </w:rPr>
              <w:t xml:space="preserve">  apakšpunktā minētajām izmaksām projekta iesniedzējs, ne vēlāk kā 90 dienas pirms izstādes sākuma dienas, rakstiski informē Latvijas investīciju un attīstības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iesniedzējs" precizēt uz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Investīcijas ietvaros izmaksas ir attiecināmas, ja tās atbilst šajos noteikumos minētajām izmaksu pozīcijām un ir radušās ne agrāk par brīdi, kad projekta iesniedzējs iesniedzis projekta iesniegumu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izmaksas būtu attiecināmas, darbības nedrīkst būt arī pabeigtām. Lūdzam izvērtēt, un ja attiecināms, papildināt noteikumu projekta 45.punktu.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kārtību, kādā tiek veikta iesniegto maksājumu pieprasījumu pārbaude atbilstoši maksājumu pieprasījumu izvērtēšanas metodoloģijai;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un izteikt to šādā redakcijā: </w:t>
            </w:r>
            <w:r w:rsidR="00000000" w:rsidRPr="00000000" w:rsidDel="00000000">
              <w:rPr>
                <w:i w:val="1"/>
                <w:rtl w:val="0"/>
              </w:rPr>
              <w:t xml:space="preserve">"47.8. kārtību, kādā tiek veikta iesniegto maksājumu pieprasījumu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Sadarbības tīkls projektu īsteno vismaz vienā no zemāk minētajām Viedās specializācijas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nosakāma sadarbības tīkla darbība viedās specializācijas jomā - NACE kods, citi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53.10. iesniegt Vadības informācijas sistēmā līguma kopijas vai līguma izrakstus par atbalsta piešķiršanu, kas noslēgts starp sadarbības tīklu un sadarbības tīkla dalībnieku;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Investīcijā sadarbības tīkla dalībniekam tiek piešķirts de minimis atbalsts. Piešķirto atbalstu (lēmumu) var iegūt no de minimis uzskaites sistēmas, tāpēc nav nepieciešams šos lēmumus  vai to izrakstus pievienot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var pievienot sadarbības līgumu, kas noslēgts starp sadarbības tīklu un tā dalībnieku, ja vien šāds līgums tiek slēgt.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54.4. apliecināt par interešu konflikta, dubultā finansējuma, korupcijas, krāpšanas neesamību;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notiks noteikumu projekta 54.4.apakšpunktā minētā apliecināšana, vai tiks parakstīts apliecinājums?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atbilst sīkā (mikro), mazā, vidējā komersanta statusam saskaņā ar šo noteikumu </w:t>
            </w:r>
            <w:r w:rsidR="00000000" w:rsidRPr="00000000" w:rsidDel="00000000">
              <w:rPr>
                <w:rtl w:val="0"/>
              </w:rPr>
              <w:t xml:space="preserve">2.7. </w:t>
            </w:r>
            <w:r w:rsidR="00000000" w:rsidRPr="00000000" w:rsidDel="00000000">
              <w:rPr>
                <w:rtl w:val="0"/>
              </w:rPr>
              <w:t xml:space="preserve">apakšpunktā</w:t>
            </w:r>
            <w:r w:rsidR="00000000" w:rsidRPr="00000000" w:rsidDel="00000000">
              <w:rPr>
                <w:rtl w:val="0"/>
              </w:rPr>
              <w:t xml:space="preserve"> noteikto vai lielā komersanta statusam saskaņā ar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noteikto. Kritērijs neattiecas uz šo noteikumu </w:t>
            </w:r>
            <w:r w:rsidR="00000000" w:rsidRPr="00000000" w:rsidDel="00000000">
              <w:rPr>
                <w:rtl w:val="0"/>
              </w:rPr>
              <w:t xml:space="preserve">70.1.3.</w:t>
            </w:r>
            <w:r w:rsidR="00000000" w:rsidRPr="00000000" w:rsidDel="00000000">
              <w:rPr>
                <w:rtl w:val="0"/>
              </w:rPr>
              <w:t xml:space="preserve"> un </w:t>
            </w:r>
            <w:r w:rsidR="00000000" w:rsidRPr="00000000" w:rsidDel="00000000">
              <w:rPr>
                <w:rtl w:val="0"/>
              </w:rPr>
              <w:t xml:space="preserve">70.1.4.</w:t>
            </w:r>
            <w:r w:rsidR="00000000" w:rsidRPr="00000000" w:rsidDel="00000000">
              <w:rPr>
                <w:rtl w:val="0"/>
              </w:rPr>
              <w:t xml:space="preserve"> apakšpunktos noteiktajiem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šī punkta nepieciešamību un saturisko pienesumu, ņemot vērā, ka MVU kategorijai nav nozīmes (atbalstu var saņemt gan sīkie (mikro), mazie, vidējie un lielie komersanti), kā arī kritēriju neattiecina uz publisko sektoru. Līdz ar to izvērtēt MVU un lielā komersanta statusu nav jēgpilni un lietderīgi. Turklāt, lai varētu veikt vērtējumu, atbalsta pretendentiem tiktu palielināts administratīvais slogs, sagatavojot MVU deklarācijas.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precizēt/skaidrot anotācijas 1.3. sadaļā "Risinājuma aprkasts" ar kādu sadarbības partneri Aģentūra pēc atlases īstenošanas noslēdz līgumu?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VI "Projekta īstenošanas un finansējuma saņemšanas nosacījumi" precizēt atsauci uz 3. pielikumu "[...] pirms līguma noslēgšanas un atbalsta sniegšanas starp sadarbības dalībniekiem vai sadarbības tīkla partneriem paraksta šo noteikumu  4. pielikumā esošo objektivitātes, konfidencialitātes un interešu konflikta neesamības apliecinājumu", jo MKN nav 4.pielikums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nodaļā "Attiecināmās izmaksas un izmaksas, kas netiek segtas no Atveseļošanas fonda līdzekļiem" norādīts - "Savukārt, sadarbības tīkla dalībniekam attiecināmas šādas 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Ārējo pakalpojumu izmaksas, [...], projekta vadības, projekta īstenošanas personāla, tai skaitā valsts sociālās apdrošināšanas obligātās iemaksas, sadarbības tīkla koordinatoram un sadarbības tīkla speciālistiem". Lūdzu skaidrot un precizēt - vai sadarbības tīkla dalībnieks (piemēram, SIA "A") segs/maksās sadarbības tīkla koordinatora vai speciālista darba algu.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norādīto "- atblasts sadarbības tīkliem un sadarbības tīkla dalībniekiem tiek sniegs nefinanšu atbalsta veidā" atbilstoši MKN 4.punktam, kas nosaka, ka "Atbalsts investīcijas ietvaros tiek sniegts granta un nefinanšu atbalsta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24.07.2023.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24.07.2023.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