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25-TA-1409: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kritērijiem un kārtību, kādā tiek izraudzītas nevalstiskās organizācijas darbam Sabiedrības integrācijas fonda padomē, un atalgojumu Sabiedrības integrācijas fonda padomes locekļiem, kuri ir nevalstisko organizāciju pārstāvji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Atalgojuma apmērs fonda padomes loceklim vai viņa aizvietotājam, kas ir nevalstiskās organizācijas pārstāvis, ir 201,76 </w:t>
            </w:r>
            <w:r w:rsidR="00000000" w:rsidRPr="00000000" w:rsidDel="00000000">
              <w:rPr>
                <w:i w:val="1"/>
                <w:rtl w:val="0"/>
              </w:rPr>
              <w:t xml:space="preserve">euro</w:t>
            </w:r>
            <w:r w:rsidR="00000000" w:rsidRPr="00000000" w:rsidDel="00000000">
              <w:rPr>
                <w:rtl w:val="0"/>
              </w:rPr>
              <w:t xml:space="preserve"> par vienu fonda padomes sēdi.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pamatojumu tik būtiskam Fonda padomes locekļa atalgojuma palielinājumam no 118,96 euro par vienu Fonda padomes sēdi (vai 11,98 euro/stundā) uz 201,76 euro par vienu Fonda padomes sēdi (vai 25,22 euro/stundā), veidojot atalgojuma palielinājumu par 69,6%. Norādām, ka saskaņā ar Ministru kabineta 2025.gada 13.maija protokola Nr.19 50.§ 7.punktu ir noteikts uzdevums veikt publiskā sektora efektivizācijas un vispārējās valdības izdevumu samazinājumu ne mazāk kā 450 milj. euro apmērā 2026.-2028. gadā, tajā skaitā 2026. gadā ne mazāk kā 150 milj. euro, kas pēc būtības paredz veikt izdevumu optimizācijas pasākumus, nevis būtiski palielināt atlīdzības izdevumus.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Šulca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izteiktajam iebildumam par noteikumu projekta 35.punktu un ņemot vērā anotācijas 3.sadaļas 6.punktā sniegto informāciju, ka Fonda budžetā Fonda padomes locekļu atlīdzībai paredzēts finansējums 5 710,08 euro apmērā, bet kopējais nepieciešamais finansējums atlīdzībai veido 18 452,64 euro, lūdzam skaidrot, kā tiek plānots nodrošināt finansējumu palielinātā atalgojuma izmaksai, ņemot vērā, ka atbilstoši Ministru kabineta 2024.gada 27.augusta prot. Nr.33 52.§ 3.punktam uz publisko pārvaldi 2025.gadā ir noteikts ierobežojums atlīdzības fonda pieaugumam ne vairāk kā 2,6% apmērā pret 2024.gada aktualizēto plānu uz 31.jūliju, bet Fonda budžetā jau šobrīd atlīdzības izdevumi ir sasnieguši noteikto slieksni.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25-TA-1409</w:t>
    </w:r>
    <w:r>
      <w:br/>
    </w:r>
    <w:r w:rsidR="00000000" w:rsidRPr="00000000" w:rsidDel="00000000">
      <w:rPr>
        <w:rtl w:val="0"/>
      </w:rPr>
      <w:t xml:space="preserve">Izdrukāts 06.08.2025. 14.34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25-TA-1409</w:t>
    </w:r>
    <w:r>
      <w:br/>
    </w:r>
    <w:r w:rsidR="00000000" w:rsidRPr="00000000" w:rsidDel="00000000">
      <w:rPr>
        <w:rtl w:val="0"/>
      </w:rPr>
      <w:t xml:space="preserve">Izdrukāts 06.08.2025. 14.34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Atzinumi_25-TA-1409.docx</dc:title>
</cp:coreProperties>
</file>

<file path=docProps/custom.xml><?xml version="1.0" encoding="utf-8"?>
<Properties xmlns="http://schemas.openxmlformats.org/officeDocument/2006/custom-properties" xmlns:vt="http://schemas.openxmlformats.org/officeDocument/2006/docPropsVTypes"/>
</file>