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24-TA-840: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apliecinājumu par Komisijas regulas Nr. </w:t>
            </w:r>
            <w:r w:rsidR="00000000" w:rsidRPr="00000000" w:rsidDel="00000000">
              <w:rPr>
                <w:rtl w:val="0"/>
              </w:rPr>
              <w:t xml:space="preserve">651/2014</w:t>
            </w:r>
            <w:r w:rsidR="00000000" w:rsidRPr="00000000" w:rsidDel="00000000">
              <w:rPr>
                <w:rtl w:val="0"/>
              </w:rPr>
              <w:t xml:space="preserve"> 2. panta 18. punkta "c" apakšpunktā ietvertā nosacījuma ievērošanu;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16.3., 31.3.6.un 42.1.apakšpunktu ar nosacījumu, ka Komisijas regulas Nr.651/2014 1.panta 4.punkta un 2.panta 18.punkta nosacījumi ir jāvērtē/jāpiemēro uzņēmuma grupas līmenī (Komisijas regulas Nr.651/2014 angliskajā versijā nosacījumi, kas ir attiecināmi uz ‘undertaking’, ir jāpārbauda/jāpiemēro uzņēmuma grupas līmenī), attiecīgi lūdzam noteikumu projektu precizēt tā, lai nodrošinātu, ka ar terminu "komersants" tiek saprasts, ka komersants tiek vērtēts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Ķīse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projektu iesniegumu atlase jau ir notikusi, lūdzam veikt teikumā "Projektu iesniegumu atlase notiks no 2024.gada 2.aprīļa līdz 2025.gada 30. aprīlim" pareizu laika lietošanu.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Aveniņa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iesniedzējam būs nepieciešams iesniegt precizētu ar projekta iesniegumu saistīto dokumentāciju, lūdzam papildināt anotāciju ar nosacījumu, ka projekta iesniedzējs tiks informēts par veiktajiem grozījumiem Ministru kabineta 2024. gada 20. februāra noteikumos Nr. 116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ceturtās kārtas īstenošanas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norādīt, vai grozījumi tiek uzskatīti par būtiskiem un ietekmē projekta ietvaros veicamo darbību veidu, projekta mērķus vai īstenošanas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 pētniecības projekta ietvaros ir efektīva sadarbība Komisijas regulas Nr. </w:t>
            </w:r>
            <w:r w:rsidR="00000000" w:rsidRPr="00000000" w:rsidDel="00000000">
              <w:rPr>
                <w:rtl w:val="0"/>
              </w:rPr>
              <w:t xml:space="preserve">651/2014</w:t>
            </w:r>
            <w:r w:rsidR="00000000" w:rsidRPr="00000000" w:rsidDel="00000000">
              <w:rPr>
                <w:rtl w:val="0"/>
              </w:rPr>
              <w:t xml:space="preserve"> 2. panta 90. punkta izpratnē ar vismaz vienu sīko (mikro), mazo vai vidējo komersantu, un viens komersants nesedz vairāk par 70 procentiem no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vai Ministru kabineta noteikumu 55.1. un 55.2. apakšpunkts nebūtu dzēšams, ņemot vērā, ka investīcijas ceturtās kārtas ietvaros projektu nav plānots īstenot kopā ar sadarbības partneri, tādējādi efektīvas sadarbības situācija, kur katrs no partneriem sedz daļu no attiecināmajām izmaksām, nevar iestāties. Līdz ar to faktiski uz atbalsta intensitātes paaugstināšanu saskaņā ar 55.1. un 55.2. apakšpunktiem šajā investīcijas kārtā nav iespējams pretendēt un minētie apakšpunkti rada maldinošu iespaidu. Tomēr projektu iesniedzējiem aizvien ir iespēja pretendēt uz paaugstinātu atbalsta intensitāti, ja tiek izpildīti citi noteikumu 55. un 56. punktā minētie nosacījumi.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 Projekta īstenošanas laikā atbalsta saņēmējs var saņemt avansa maksājumu, kas nepārsniedz 30 procentus no kopējā projekta publiskā finansējuma apmēra, pamatojot tā sasaisti ar projekta ietvaros noteikto rādītāju izpildes progresu atbilstoši šo noteikumu </w:t>
            </w:r>
            <w:r w:rsidR="00000000" w:rsidRPr="00000000" w:rsidDel="00000000">
              <w:rPr>
                <w:rtl w:val="0"/>
              </w:rPr>
              <w:t xml:space="preserve">6.</w:t>
            </w:r>
            <w:r w:rsidR="00000000" w:rsidRPr="00000000" w:rsidDel="00000000">
              <w:rPr>
                <w:rtl w:val="0"/>
              </w:rPr>
              <w:t xml:space="preserve"> punktam</w:t>
            </w:r>
            <w:r w:rsidR="00000000" w:rsidRPr="00000000" w:rsidDel="00000000">
              <w:rPr>
                <w:rtl w:val="0"/>
              </w:rPr>
              <w:t xml:space="preserve">. Ja atbalsta saņēmējs vēlas saņemt vairākus avansus, tad nākamo avansu var saņemt pēc tam, kad iepriekšējais ir apgūts pilnā apmērā. Kopējā avansa un starpposma maksājumu kopsumma nedrīkst pārsniegt 90 procentus no kopējā projektam piešķirtā finansējuma. Noslēguma maksājumu iespējams saņemt tad, kad avansa un starpposma maksājumi kopsummā apgūti 90 procentu apmērā. Aģentūra noslēguma maksājumu izmaksā pēc projektā visu paredzēto darbību pabeigšanas.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pievienot papildu skaidrojumu par MK noteikumu 68. punktā norādīto teksta daļu "Noslēguma maksājumu iespējams saņemt tad, kad avansa un starpposma maksājumi kopsummā apgūti 90 procentu apmērā" - lūdzam skaidrot, kāda būtu aģentūras rīcība un kādas sekas iestātos finansējuma saņēmējam, ja avansa un starpposma maksājumu kopsummas apguve nesasniedz 90 procentus?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Baranovska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24-TA-840</w:t>
    </w:r>
    <w:r>
      <w:br/>
    </w:r>
    <w:r w:rsidR="00000000" w:rsidRPr="00000000" w:rsidDel="00000000">
      <w:rPr>
        <w:rtl w:val="0"/>
      </w:rPr>
      <w:t xml:space="preserve">Izdrukāts 04.06.2024. 14.00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24-TA-840</w:t>
    </w:r>
    <w:r>
      <w:br/>
    </w:r>
    <w:r w:rsidR="00000000" w:rsidRPr="00000000" w:rsidDel="00000000">
      <w:rPr>
        <w:rtl w:val="0"/>
      </w:rPr>
      <w:t xml:space="preserve">Izdrukāts 04.06.2024. 14.00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Atzinumi_24-TA-840.docx</dc:title>
</cp:coreProperties>
</file>

<file path=docProps/custom.xml><?xml version="1.0" encoding="utf-8"?>
<Properties xmlns="http://schemas.openxmlformats.org/officeDocument/2006/custom-properties" xmlns:vt="http://schemas.openxmlformats.org/officeDocument/2006/docPropsVTypes"/>
</file>