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Sociālās aizsardzības un darba tirgus politikas pamatnostādņu 2021.-2027. gadam īstenošanas starpposma ietekmes izvērtējumu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12.02.2026.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12.02.2026.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