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31.01.2024.g.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sadarbības partneris, projekta iesniedzējs vai persona, kura ir projekta iesniedzēja vai sadarbības partnera valdes vai padomes loceklis vai prokūrists, vai persona, kura ir pilnvarota pārstāvēt projekta iesniedzēju vai sadarbības partneri,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13.5. apakšpunkta ievaddaļā un 13.7. apakšpunktā svītrot vārdus "neapstrīdams un". Vēršam uzmanību, ka priekšraksti par sodu, tiesas spriedumi un kompetento institūciju lēmumi (administratīvo pārkāpumu jomā) nav apstrīdami, bet ir pārsūdzami.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Iesnieguma veidlapa.Atbilstoši noteikumu 37.punktam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2. pielikumā ietvertos administratīvās vērtēšanas kritērijus. Proti,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un svītrot 1.4. kritēriju, ievērojot, ka atbilstoši noteikumu projekta 28. punktam, ja projekta iesniegumu saņem pēc projektu iesniegumu iesniegšanas termiņa beigām, tas netiek vērtēts, savukārt projekta iesnieguma vērtēšanas sākas iepretim administratīvās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1.7. kritēriju, kurš pēc būtības izriet no 1.6. 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un 1.18. kritērijā svītrot norādi uz noteikto minimālo sasniedzamās mērķauditorijas dalībnieku skaitu, ievērojot, ka noteikumu projektā šobrīd atrodams vienīgi projekta sasniedzamais mērķauditoriju dalībnieku kopējais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29.07.2024.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