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Alternatīvo ieguldījumu fondu un to pārvaldnieku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Privātā un Riska kapitāla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"45)</w:t>
            </w:r>
            <w:r w:rsidR="00000000" w:rsidRPr="00000000" w:rsidDel="00000000">
              <w:rPr>
                <w:b w:val="1"/>
                <w:rtl w:val="0"/>
              </w:rPr>
              <w:t xml:space="preserve"> fonda kapitāls </w:t>
            </w:r>
            <w:r w:rsidR="00000000" w:rsidRPr="00000000" w:rsidDel="00000000">
              <w:rPr>
                <w:rtl w:val="0"/>
              </w:rPr>
              <w:t xml:space="preserve">– kopējās kapitāla iemaksas un ieguldītāju līgumiskās saistības iemaksāt kapitālu, kas ir aprēķināts, pamatojoties uz summām, kuras var ieguldīt pēc visu to komisijas naudas, maksu un izdevumu atskaitīšanas, kurus tieši vai netieši sedz ieguldītāji;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w:t>
            </w:r>
            <w:r w:rsidR="00000000" w:rsidRPr="00000000" w:rsidDel="00000000">
              <w:rPr>
                <w:b w:val="1"/>
                <w:rtl w:val="0"/>
              </w:rPr>
              <w:t xml:space="preserve">aizdevumu izsniegšana</w:t>
            </w:r>
            <w:r w:rsidR="00000000" w:rsidRPr="00000000" w:rsidDel="00000000">
              <w:rPr>
                <w:rtl w:val="0"/>
              </w:rPr>
              <w:t xml:space="preserve"> – aizdevuma piešķiršana, ko veic fonds kā sākotnējais aizdevējs tieši vai netieši ar tādas trešās personas vai īpašam nolūkam dibinātas sabiedrības starpniecību, kas izsniedz aizdevumu fonda labā vai tā vārdā, vai pārvaldnieka labā vai tā vārdā no fonda līdzekļiem, ja pārvaldnieks vai fonds ir iesaistīts aizdevuma nosacījumu noteikšanā vai iepriekšējā saskaņošanā pirms aizdevuma izsniegšanas;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w:t>
            </w:r>
            <w:r w:rsidR="00000000" w:rsidRPr="00000000" w:rsidDel="00000000">
              <w:rPr>
                <w:b w:val="1"/>
                <w:rtl w:val="0"/>
              </w:rPr>
              <w:t xml:space="preserve">akcionāra aizdevums</w:t>
            </w:r>
            <w:r w:rsidR="00000000" w:rsidRPr="00000000" w:rsidDel="00000000">
              <w:rPr>
                <w:rtl w:val="0"/>
              </w:rPr>
              <w:t xml:space="preserve"> – aizdevums, ko fonds piešķir komercsabiedrībai, kurā tam tieši vai netieši pieder vismaz 5 % kapitāla vai balsstiesību un kuru nevar pārdot trešajām personām, neatkarīgi no kapitāla instrumentiem, kas ir fonda turējumā tajā pašā komercsabiedrībā;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w:t>
            </w:r>
            <w:r w:rsidR="00000000" w:rsidRPr="00000000" w:rsidDel="00000000">
              <w:rPr>
                <w:b w:val="1"/>
                <w:rtl w:val="0"/>
              </w:rPr>
              <w:t xml:space="preserve">aizdevumus izsniedzošs fonds</w:t>
            </w:r>
            <w:r w:rsidR="00000000" w:rsidRPr="00000000" w:rsidDel="00000000">
              <w:rPr>
                <w:rtl w:val="0"/>
              </w:rPr>
              <w:t xml:space="preserve"> – fonds, kura ieguldījumu stratēģija paredz galvenokārt aizdevumu izsniegšanu, vai kura izsniegto aizdevumu pamatsummu kopējā vērtība veido vismaz 50 % no tā neto aktīvu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w:t>
            </w:r>
            <w:r w:rsidR="00000000" w:rsidRPr="00000000" w:rsidDel="00000000">
              <w:rPr>
                <w:b w:val="1"/>
                <w:rtl w:val="0"/>
              </w:rPr>
              <w:t xml:space="preserve">fonds ar sviras finansējumu</w:t>
            </w:r>
            <w:r w:rsidR="00000000" w:rsidRPr="00000000" w:rsidDel="00000000">
              <w:rPr>
                <w:rtl w:val="0"/>
              </w:rPr>
              <w:t xml:space="preserve">  – fonds, kura pārvaldnieks palielina tā riska darījumu apmēru, aizņemoties naudu vai vērtspapīrus vai veicot darījumus ar atvasinātajiem finanšu instrumentiem, vai jebkādā citā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pārskatīt jaunieviešamās definīcijas “Akcionāru aizdevums”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likumprojektā definīcija paredz, ka akcionāru aizdevums ir aizdevums “[..], kuru nevar pārdot trešajām personām”. Aicinām izvērtēt iespēju šo nosacījumu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alternatīvo ieguldījumu fondi piešķir akcionāru aizdevumus saviem portfeļa uzņēmumiem kā daļu no kapitāla struktūras finansējuma. Šādu aizdevumu izsniegšanas mērķis nav to pārdošana trešajām personām, un praksē šādi darījumi arī netiek plānoti. Tomēr aizdevuma dokumentācijā parasti netiek iekļauti īpaši ierobežojumi attiecībā uz aizdevuma cedēšanu vai pārdošanu, jo tas nepamatoti ierobežotu fonda rīcības brīvību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pats fakts, ka aizdevuma prasījumu teorētiski varētu cedēt vai pārdot trešajai personai, pēc būtības nemaina šāda finansējuma ekonomisko raksturu un nediskvalificē to kā akcionāra aizdevumu.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aizliegums akcionāru aizdevumu pārdot trešajām personām radītu mākslīgu un komerciāli nepamatotu ierobežojumu alternatīvo ieguldījumu fondiem, kuri finansē savus portfeļa uzņēmumus ar akcionāru aizdevumiem. Šāds ierobežojums praktiski nav nepieciešams, taču tas varētu nepamatoti ierobežot fondu elastību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piedāvājam svītrot no “Akcionāru aizdevuma” definīcijas nosacījumu, ka šāds aizdevums “nevar tikt pārdots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“Akcionāru aizdevuma” definīcijas nosacījumu, ka šāds aizdevums “nevar tikt pārdots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Kalniņa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izteikt piekto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attiecībā uz šajā pantā iekļauto atsauci uz 25.panta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25. panta trešajā daļā paredzēto prasību, ka pārvaldniekam jānodrošina riska pārvaldīšanas funkcijas organizatoriska un funkcionāla nodalīšana no pārējām pārvaldnieka darbībām, atkārtoti vēršam uzmanību uz šīs prasības praktisko piemērošanu reģistrētiem pārvaldniekiem.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Asociācija piedāvāja paredzēt, ka šāda organizatoriska un funkcionāla riska pārvaldīšanas funkcijas nodalīšana nebūtu obligāti piemērojama reģistrētiem pārvaldniekiem. Saprotam Latvijas Bankas argumentāciju par nepieciešamību nodrošināt pamata risku pārvaldības prasību piemērošanu visiem pārvaldniekiem.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nozares praksē risku pārvaldības funkcijas organizēšanas jautājumi ir tikuši detalizētāk skaidroti FNA un LVCA izstrādātajās vadlīnijās. Šīs vadlīnijas attiecas uz fondiem, kas dibināti vai kuru dibināšanas dokumenti (piemēram, ieguldījumu līgumi) ir noslēgti pēc 2024.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fondi, kas dibināti pirms šī perioda, ir strukturēti atbilstoši to dibināšanas brīdī spēkā esošajam regulējumam un tirgus praksei, un to pārvaldnieku organizatoriskā struktūra ir izveidota atbilstoši šiem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tiesisko skaidrību un izvairītos no situācijas, kurā jaunā prasība faktiski tiek piemērota jau esošām fondu struktūrām, aicinām precizēt normu vai pārejas regulējumu, paredzot, ka prasība par riska pārvaldīšanas funkcijas organizatorisku un funkcionālu nodalīšanu attiecas uz pārvaldniekiem attiecībā uz tiem fondiem, kas dibināti vai kuru dibināšanas dokumenti noslēgti pēc 2024.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ļautu nodrošināt regulējuma saskaņotību ar nozares vadlīnijām un vienlaikus izvairīties no nesamērīga administratīvā sloga attiecībā uz jau esošām fondu struktūrām.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Izziņā norādīts, ka iemesls riska pārvaldīšanas prasību piemērošanai reģistrētiem pārvaldniekiem ir tas, ka Direktīva Nr. 2024/927 ievieš būtiski paplašinātu regulējumu attiecībā uz fondiem, kuri izsniedz aizdevumus vai citādi iesaistās kreditēšanas darbībās. Tomēr kā norādījusi Asociācija, Direktīvas Nr. 2024/927 mērķis nav piemērot šīs prasības reģisitrētiem pārvaldniekiem.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Kalniņa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formulējums, ka riska pārvaldīšana ir nodalīta no "pārējām pārvaldnieka darbībām", var tikt interpretēts pārmērīgi plaši un radīt priekšstatu, ka persona, kas veic riska pārvaldīšanas funkciju, nedrīkst veikt citas kontroles vai administratīvās funkcijas pārvaldnieka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nozares praksē riska pārvaldīšanas funkcijas neatkarība primāri tiek nodrošināta, nodalot to no darbībām, kas saistītas ar ieguldījumu darījumu ierosināšanu, izvērtēšanu un ieguldījumu lēmumu pieņemšanu. Vienlaikus šī funkcija var tikt apvienota ar citām kontroles vai atbalsta funkcijām (piemēram, atbilstības vai aktīvu novērtēšanas funkcijām), ja tiek nodrošināta tās neatkarība no investīciju lēmumu pieņemšanas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piedāvātais precizējums nodrošinātu regulējuma skaidrību un atbilstību nozares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25.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Pārvaldnieks nodrošina, ka riska pārvaldīšana ir organizatoriski un funkcionāli nodalīta no fonda ieguldījumu pārvaldīšanas. Pārvaldnieks izstrādā un ievieš kontroles procedūras esošo vai iespējamo interešu konflikta situāciju novēršanai, lai nodrošinātu neatkarīgu risku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Kalniņa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Asociācija norādījusi jau iepriekš, Direktīvas Nr. 2024/927 mērķis nav bijis piemērot loan origination nosacījumus uz reģistrētiem jeb t.s. ‘sub-treshold’ pārvaldniekiem, kas atbilst Direktīvā Nr. 2011/61 3.panta izņēmumam.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minēts, ka “Pārņemot Direktīvas Nr. 2024/927 normas attiecībā uz aizdevumu izsniegšanu, to piemērošana nav sašaurināma vienīgi uz aizdevumus izsniedzoša AIF pārvaldnieka darbību. Tas norādīts arī Direktīvas Nr. 2024/927 preambulas 16.punktā, lai panāktu “AIF profesionālu pārvaldību un mazinātu finanšu stabilitātes riskus, AIFP, kas pārvalda AIF, kuri iesaistās aizdevumu izsniegšanā, neatkarīgi no tā, vai šie AIF atbilst aizdevumus izsniedzošo AIF definīcijai, vajadzētu būt efektīvai politikai, procedūrām un procesiem aizdevumu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Asociācija norāda, ka Direktīvas Nr.2024/927 preambulas 16.punkts nav interpretējams tā, lai attiecinātu aizdevumus izsniedzoša AIF pārvaldnieka nosacījumus arī uz reģistrētiem pārvaldniekiem.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jāuzsver, ka Direktīvas preambula, uz kuru izdarīta atsauce Izziņā, nav tiesību norma un Direktīvas preambula nesatur saistošus pienākumus, bet gan formulē tās mērķi veidot harmonizētu regulējumu ‘loan origination’ fondus pārvaldošiem pārvaldniekiem. Nekur pašā Direktīvas tekstā nav norādīts, ka ‘loan origination’ nosacījumi būtu tiešā veidā piemērojami arī reģistrētiem jeb ‘sub-treshold’ AIFP.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arī vairāki juridiskie eksperti norāda, ka “loan‑originating regime is designed to apply only to full-scope AIFMs, Article 3 managers are outside this framework.” (Goodwin Law 2024; https://www.jdsupra.com/legalnews/aifmd-2-0-evolution-rather-than-4635645/; un citi).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Kalniņa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25-TA-2104</w:t>
    </w:r>
    <w:r>
      <w:br/>
    </w:r>
    <w:r w:rsidR="00000000" w:rsidRPr="00000000" w:rsidDel="00000000">
      <w:rPr>
        <w:rtl w:val="0"/>
      </w:rPr>
      <w:t xml:space="preserve">Izdrukāts 10.03.2026.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25-TA-2104</w:t>
    </w:r>
    <w:r>
      <w:br/>
    </w:r>
    <w:r w:rsidR="00000000" w:rsidRPr="00000000" w:rsidDel="00000000">
      <w:rPr>
        <w:rtl w:val="0"/>
      </w:rPr>
      <w:t xml:space="preserve">Izdrukāts 10.03.2026.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Atzinumi_25-TA-2104.docx</dc:title>
</cp:coreProperties>
</file>

<file path=docProps/custom.xml><?xml version="1.0" encoding="utf-8"?>
<Properties xmlns="http://schemas.openxmlformats.org/officeDocument/2006/custom-properties" xmlns:vt="http://schemas.openxmlformats.org/officeDocument/2006/docPropsVTypes"/>
</file>