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izgatavošanas un uzglabāšanas, kā arī recepšu izrakstīšanas un uzglabāšanas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īpašā recepte, kurā izraksta narkotiskās un psihotropās zāles, arī zāles, kuras Zāļu valsts aģentūra ir atzinusi par narkotiskiem analgētiskiem līdzekļiem, zāles, kuras satur šo noteikumu </w:t>
            </w:r>
            <w:r w:rsidR="00000000" w:rsidRPr="00000000" w:rsidDel="00000000">
              <w:rPr>
                <w:rtl w:val="0"/>
              </w:rPr>
              <w:t xml:space="preserve">7. </w:t>
            </w:r>
            <w:r w:rsidR="00000000" w:rsidRPr="00000000" w:rsidDel="00000000">
              <w:rPr>
                <w:rtl w:val="0"/>
              </w:rPr>
              <w:t xml:space="preserve">pielikumā</w:t>
            </w:r>
            <w:r w:rsidR="00000000" w:rsidRPr="00000000" w:rsidDel="00000000">
              <w:rPr>
                <w:rtl w:val="0"/>
              </w:rPr>
              <w:t xml:space="preserve"> minētās vielas, kā arī zāles un medicīniskās ierīces, kuru iegādes izdevumus pacientam daļēji vai pilnībā kompensē atbilstoši kompensēšanas kārtībai, izņemot individuāli kompensējamās zāles. Īpašo recepti izraksta elektroniski veselības informācijas sistēmā atbilstoši normatīvajiem aktiem par vienoto veselības nozares elektronisko informācijas sistēmu vai uz īpašās receptes veidlapas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Narkotiskās un psihotropās zāles, arī zāles, kuras Zāļu valsts aģentūra ir atzinusi par narkotiskiem analgētiskiem līdzekļiem, izraksta tikai uz īpašās elektroniskās receptes.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Narkotisko un psihotropo vielu un zāļu, kā arī prekursoru likumīgās aprites likuma 36. panta pirmā daļa noteic, ka </w:t>
            </w:r>
            <w:r w:rsidR="00000000" w:rsidRPr="00000000" w:rsidDel="00000000">
              <w:rPr>
                <w:u w:val="single"/>
                <w:rtl w:val="0"/>
              </w:rPr>
              <w:t xml:space="preserve">II un III sarakstā iekļautās vielas un zāles pacientam izsniedz tikai pret recepti, kas izrakstīta atbilstoši normatīvajiem aktiem par recepšu izrakstīšanu. Ministru kabinets nosaka prasības un kārtību, kādā izraksta un uzglabā receptes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Narkotisko un psihotropo vielu un zāļu, kā arī prekursoru likumīgās aprites likuma 3. panta trešās daļas 2. un 3. punktā minētā izriet, ka </w:t>
            </w:r>
            <w:r w:rsidR="00000000" w:rsidRPr="00000000" w:rsidDel="00000000">
              <w:rPr>
                <w:u w:val="single"/>
                <w:rtl w:val="0"/>
              </w:rPr>
              <w:t xml:space="preserve">II sarakstā ietilpst ļoti bīstamās narkotiskās vielas un tām pielīdzinātās psihotropās vielas, kuras atļauts izmantot medicīniskiem un zinātniskiem mērķiem (Latvijā kontrolējamo narkotisko vielu, psihotropo vielu un prekursoru II saraksts), un III sarakstā ietilpst bīstamās psihotropās vielas, kuras var tikt izmantotas ļaunprātīgos nolūkos (Latvijā kontrolējamo narkotisko vielu, psihotropo vielu un prekursoru III saraksts)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projekta "Recepšu veidlapu izgatavošanas un uzglabāšanas, kā arī recepšu izrakstīšanas un uzglabāšanas noteikumi" (turpmāk – projekts) 2.2. apakšpunkts noteic, ka īpašā recepte, kurā izraksta </w:t>
            </w:r>
            <w:r w:rsidR="00000000" w:rsidRPr="00000000" w:rsidDel="00000000">
              <w:rPr>
                <w:u w:val="single"/>
                <w:rtl w:val="0"/>
              </w:rPr>
              <w:t xml:space="preserve">narkotiskās un psihotropās zāles, arī zāles, kuras Zāļu valsts aģentūra ir atzinusi par narkotiskiem analgētiskiem līdzekļiem, zāles, kuras satur šo noteikumu 7. pielikumā minētās vielas, kā arī zāles un medicīniskās ierīces, kuru iegādes izdevumus pacientam daļēji vai pilnībā kompensē atbilstoši kompensēšanas kārtībai</w:t>
            </w:r>
            <w:r w:rsidR="00000000" w:rsidRPr="00000000" w:rsidDel="00000000">
              <w:rPr>
                <w:rtl w:val="0"/>
              </w:rPr>
              <w:t xml:space="preserve">, izņemot individuāli kompensējamās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2.2. apakšpunktā paredzēto regulējumu atbilstoši Narkotisko un psihotropo vielu un zāļu, kā arī prekursoru likumīgās aprites likuma 3. panta trešās daļas 2. un 3. punktā noteiktajam un precizēt to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ar izvērstu pamatojumu par projektā paredzēto regulējumu (proti, uz kādām zālēm attiecas Narkotisko un psihotropo vielu un zāļu, kā arī prekursoru likumīgās aprites likuma 36. panta pirmās daļas otrajā teikumā noteiktais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Aptieku un valsts institūciju pienākumi recepšu un recepšu veidlapu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Ministru kabinets ārējo normatīvo aktu var izdot tikai tādā gadījumā, ja likumdevējs likumā formulējis pilnvarojumu šāda akta izdošanai un noteicis pilnvarojuma robežas</w:t>
            </w:r>
            <w:r w:rsidR="00000000" w:rsidRPr="00000000" w:rsidDel="00000000">
              <w:rPr>
                <w:rtl w:val="0"/>
              </w:rPr>
              <w:t xml:space="preserve"> </w:t>
            </w:r>
            <w:r w:rsidR="00000000" w:rsidRPr="00000000" w:rsidDel="00000000">
              <w:rPr>
                <w:i w:val="1"/>
                <w:rtl w:val="0"/>
              </w:rPr>
              <w:t xml:space="preserve">(skat. Satversmes tiesas 2017. gada 29. jūnija sprieduma lietā Nr. 2016-23-03 16. punktu)</w:t>
            </w:r>
            <w:r w:rsidR="00000000" w:rsidRPr="00000000" w:rsidDel="00000000">
              <w:rPr>
                <w:rtl w:val="0"/>
              </w:rPr>
              <w:t xml:space="preserve">. Turklāt Ministru kabineta noteikumu saturam jāatbilst likumdevēja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60. pants noteic, ka </w:t>
            </w:r>
            <w:r w:rsidR="00000000" w:rsidRPr="00000000" w:rsidDel="00000000">
              <w:rPr>
                <w:u w:val="single"/>
                <w:rtl w:val="0"/>
              </w:rPr>
              <w:t xml:space="preserve">recepšu veidlapu izgatavošanas noteikumus un recepšu izrakstīšanas kārtību reglamentē Ministru kabineta noteikumi un citi normatīvie akti</w:t>
            </w:r>
            <w:r w:rsidR="00000000" w:rsidRPr="00000000" w:rsidDel="00000000">
              <w:rPr>
                <w:rtl w:val="0"/>
              </w:rPr>
              <w:t xml:space="preserve">. Savukārt Narkotisko un psihotropo vielu un zāļu, kā arī prekursoru likumīgās aprites likuma 36. panta pirmā daļa noteic, ka </w:t>
            </w:r>
            <w:r w:rsidR="00000000" w:rsidRPr="00000000" w:rsidDel="00000000">
              <w:rPr>
                <w:u w:val="single"/>
                <w:rtl w:val="0"/>
              </w:rPr>
              <w:t xml:space="preserve">II un III sarakstā iekļautās vielas un zāles pacientam izsniedz tikai pret recepti, kas izrakstīta atbilstoši normatīvajiem aktiem par recepšu izrakstīšanu. Ministru kabinets nosaka prasības un kārtību, kādā izraksta un uzglabā receptes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 Ārstniecības likuma 60. pants, ne Narkotisko un psihotropo vielu un zāļu, kā arī prekursoru likumīgās aprites likuma 36. panta pirmā daļa neparedz projektā paredzēt V nodaļā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vai papildināt anotāciju ar izvērstu pamatojumu, no kurām likumu tiesību normām izriet Ministru kabineta tiesības noteikt projekta V nodaļā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projekts izstrādāts atbilstoši grozījumiem Narkotisko un psihotropo vielu un zāļu, kā arī prekursoru likumīgās aprites likuma 36. panta pirmajā daļā noteiktajā pilnvarojumā Ministru kabinetam, kas ir </w:t>
            </w:r>
            <w:r w:rsidR="00000000" w:rsidRPr="00000000" w:rsidDel="00000000">
              <w:rPr>
                <w:u w:val="single"/>
                <w:rtl w:val="0"/>
              </w:rPr>
              <w:t xml:space="preserve">plašāks nekā pirms attiecīgo grozījumu izdarīšanas</w:t>
            </w:r>
            <w:r w:rsidR="00000000" w:rsidRPr="00000000" w:rsidDel="00000000">
              <w:rPr>
                <w:rtl w:val="0"/>
              </w:rPr>
              <w:t xml:space="preserve">. Turklāt šī likuma pārejas noteikumu 10. punkts noteic, ka Ministru kabineta 2005. gada 8. marta noteikumi Nr. 175 "Recepšu veidlapu izgatavošanas un uzglabāšanas, kā arī recepšu izrakstīšanas un uzglabāšanas noteikumi" ir piemērojami līdz 2026.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projekts ir izstrādāts ne tikai saskaņā ar Narkotisko un psihotropo vielu un zāļu, kā arī prekursoru likumīgās aprites likuma 36. panta pirmajā daļā noteikto pilnvarojumu Ministru kabinetam, bet arī saskaņā ar Ārstniecības likuma 60. pantu, kurā nav izdarīti attiecīgi grozījumi, tomēr projekts paredz regulējumu ne tikai par īpašajam receptēm, kurās izraksta attiecīgās narkotiskās un psihotropiskās zāles, bet arī par parastajām receptēm, kurās neizraksta narkotiskās un psihotropiskās zāles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Ārstniecības likuma 60. pants noteic, ka </w:t>
            </w:r>
            <w:r w:rsidR="00000000" w:rsidRPr="00000000" w:rsidDel="00000000">
              <w:rPr>
                <w:u w:val="single"/>
                <w:rtl w:val="0"/>
              </w:rPr>
              <w:t xml:space="preserve">recepšu veidlapu izgatavošanas noteikumus un recepšu izrakstīšanas kārtību reglamentē Ministru kabineta noteikumi un citi normatīvie akti, kas neatbilst Ministru kabineta 2009. gada 3. februāra noteikumu Nr. 108 "Normatīvo aktu projektu sagatavošanas noteikumi" 47. punktā noteiktajām prasībām, kas noteic, kā izstrādā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Ārstniecības likuma 60. pantā un projektā noteikto un attiecīgi precizēt to vai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recepšu (izņemot veterinārās receptes) veidlapu izgatavošanas un uzglabāšanas, kā arī recepšu izrakstīšanas prasības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 punktu atbilstoši Ārstniecības likuma 60. pantā un Narkotisko un psihotropo vielu un zāļu, kā arī prekursoru likumīgās aprites likuma 36. panta pirmajā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Recepšu veidlapas ārstniecības iestādēm un ārstniecības personām, kurām ir tiesības izrakstīt receptes, izplata Nacionālais veselības dienests (turpmāk – dienests). Dienests saskaņā ar normatīvajiem aktiem par iepirkumiem valsts vajadzībām organizē pasūtījumu recepšu veidlapu izgatavošanai, kā arī recepšu veidlapu tipogrāfisko iespiešanu, paredzot šo noteikumu 5. un 6. punktā minēto aizsargmehānismu iestrādi, lai nepieļautu recepšu veidlapu viltošanas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noteikumi"3.1. apakšpunkts noteic, ka </w:t>
            </w:r>
            <w:r w:rsidR="00000000" w:rsidRPr="00000000" w:rsidDel="00000000">
              <w:rPr>
                <w:u w:val="single"/>
                <w:rtl w:val="0"/>
              </w:rPr>
              <w:t xml:space="preserve">normatīvā akta projektā neietver normas, kas ir deklaratīvas</w:t>
            </w:r>
            <w:r w:rsidR="00000000" w:rsidRPr="00000000" w:rsidDel="00000000">
              <w:rPr>
                <w:rtl w:val="0"/>
              </w:rPr>
              <w:t xml:space="preserve">. Ievērojot minēto, lūdzam svītrot projekta 7. punktā vārdus "lai nepieļautu recepšu veidlapu viltošanas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Atbildīgā amatpersona nodrošina recepšu veidlapu izsniegšanu pēc ārstniecības iestādes vadītāja apstiprināta (ārstniecības iestādes vadītāja paraksts un ārstniecības iestādes zīmogs) pieprasījuma. Pieprasījumā norāda ārstniecības iestādes rekvizītus, pieprasījuma datumu, numuru, recepšu veidlapu veidu, skaitu un recepšu veidlapu vajadzības pamatojumu. Īpašo recepšu veidlapu pieprasījums ir derīgs septiņas dienas. Īpašo recepšu veidlapu pieprasījumu dienestā glabā trīs gadus, parasto recepšu veidlapu pieprasījumu – vienu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personas datu apstrādes glabāšanas ierobežojuma principu (personas dati tiek glabāti veidā, kas pieļauj datu subjektu identifikāciju, ne ilgāk kā nepieciešams nolūkiem, kādos attiecīgos personas datus apstrādā), lūdzam papildināt anotāciju, sniedzot skaidrojumu, kas pamatotu izvēlēto glabāšanas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Atbildīgā amatpersona nodrošina recepšu veidlapu izsniegšanu pēc ārstniecības iestādes vadītāja apstiprināta (ārstniecības iestādes vadītāja paraksts un ārstniecības iestādes zīmogs) pieprasījuma. Pieprasījumā norāda ārstniecības iestādes rekvizītus, pieprasījuma datumu, numuru, recepšu veidlapu veidu, skaitu un recepšu veidlapu vajadzības pamatojumu. Īpašo recepšu veidlapu pieprasījums ir derīgs septiņas dienas. Īpašo recepšu veidlapu pieprasījumu dienestā glabā trīs gadus, parasto recepšu veidlapu pieprasījumu – vienu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Dokumentu juridiskā spēka likuma 4. panta pirmā daļa noteic, ka, </w:t>
            </w:r>
            <w:r w:rsidR="00000000" w:rsidRPr="00000000" w:rsidDel="00000000">
              <w:rPr>
                <w:u w:val="single"/>
                <w:rtl w:val="0"/>
              </w:rPr>
              <w:t xml:space="preserve">lai dokumentam būtu juridisks spēks, tajā iekļauj šādus rekvizītus: 1) dokumenta autoru nosaukums; 2) dokumenta datums; 3) paraksts (izņemot likumā paredzētus gadījumus)</w:t>
            </w:r>
            <w:r w:rsidR="00000000" w:rsidRPr="00000000" w:rsidDel="00000000">
              <w:rPr>
                <w:rtl w:val="0"/>
              </w:rPr>
              <w:t xml:space="preserve">. Turklāt Dokumentu juridiskā spēka likuma 4. panta otrā daļa noteic, ka tiesību aktos noteiktajos gadījumos organizācijas dokumentā, lai tam būtu juridisks spēks, papildus šā panta pirmajā daļā minētajiem rekvizītiem iekļauj šādus rekvizītus: 1) dokumenta izdošanas vietas nosaukums; 2) zīmoga nospiedums; 3) dokumenta apstiprinājuma uzraksts vai atzīme par dokumenta apstiprināšanu; 4) dokumenta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piemēram, Elektronisko dokumentu likuma 3. panta piektā daļa noteic, ka</w:t>
            </w:r>
            <w:r w:rsidR="00000000" w:rsidRPr="00000000" w:rsidDel="00000000">
              <w:rPr>
                <w:u w:val="single"/>
                <w:rtl w:val="0"/>
              </w:rPr>
              <w:t xml:space="preserve"> elektronisko dokumentu apritē starp valsts un pašvaldību iestādēm vai starp šīm iestādēm un fiziskajām un juridiskajām personām elektroniskais dokuments uzskatāms par parakstītu, ja tam ir drošs elektroniskais paraksts un laika zīmogs vai elektroniskais paraksts, ja puses šā panta otrajā daļā noteiktajā kārtībā rakstveidā vienojušās par elektroniskā dokumenta parakstīšanu ar elektronisko parakstu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13. punktā paredzētā regulējuma par to, kā ārstniecības iestādes vadītājam jāapstiprina attiecīgais dokuments, nepieciešamību un svītrot to, jo atbilstoši Ministru kabineta 2009. gada 3. februāra noteikumu Nr. 108 "Normatīvo aktu projektu sagatavošanas noteikumi" 100. punktā noteiktajam </w:t>
            </w:r>
            <w:r w:rsidR="00000000" w:rsidRPr="00000000" w:rsidDel="00000000">
              <w:rPr>
                <w:u w:val="single"/>
                <w:rtl w:val="0"/>
              </w:rPr>
              <w:t xml:space="preserve">normatīvā akta projektā neietver normas, kas 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Brāķētās un no aprites izņemtās recepšu veidlapas dienestā, bojātās recepšu veidlapas un neizlietotās receptes ārstniecības iestādē iznīcina attiecīgi dienesta vai ārstniecības iestādes vadītāja izveidotas komisijas (vismaz divu personu sastāvā) klātbūtnē. Par recepšu veidlapu vai recepšu iznīcināšanu sastāda aktu, norādot iznīcināto recepšu veidlapu vai recepšu veidu, sēriju, numuru, daudzumu, iznīcināšanas vietu, datumu, iznīcināšanas veidu, citus ar iznīcināšanu saistītus apstākļus, kā arī komisijas locekļus (vārds, uzvārds un amats). Aktu paraksta visi komisijas locekļi. Aktu attiecīgi dienestā vai ārstniecības iestādē glabā trīs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personas datu apstrādes glabāšanas ierobežojuma principu (personas dati tiek glabāti veidā, kas pieļauj datu subjektu identifikāciju, ne ilgāk kā nepieciešams nolūkiem, kādos attiecīgos personas datus apstrādā), lūdzam papildināt anotāciju, sniedzot skaidrojumu, kas pamatotu izvēlēto glabāšanas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Īpašās receptes, uz kurām ir izrakstītas narkotiskās vai tām pielīdzinātās psiho­tropās zāles, aptiekā glabā piecus gadus, bet pārējās īpašās receptes glabā trīs gadus. Parastās receptes aptiekā glabā vienu gadu. Eiropas Savienības, Eiropas Ekonomikas zonas valstī vai Šveices Konfederācijā izrakstītas receptes aptiekā glabā trīs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personas datu apstrādes glabāšanas ierobežojuma principu (personas dati tiek glabāti veidā, kas pieļauj datu subjektu identifikāciju, ne ilgāk kā nepieciešams nolūkiem, kādos attiecīgos personas datus apstrādā), lūdzam papildināt anotāciju, sniedzot skaidrojumu, kas pamatotu izvēlēto glabāšanas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Ārstiem rezidentiem un ārstiem stažieriem, kuriem Ārstniecības personu reģistrā ir reģistrēta darba vieta, ir tiesības izrakstīt šo noteikumu 33. un 34. punktā minētās receptes sertificēta speciālista vadībā.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35. punktu, lietojot vienu attiecīgā reģistra nosaukumu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Lai iegādātos elektroniskajā receptē izrakstītās zāles, persona farmaceitam vai farmaceita asistentam uzrāda personu apliecinošu dokumentu. Ja zāles iegādājas persona, kurai recepte nav izrakstīta, bet kura ir pilnvarota apstrādāt tās personas datus veselības informācijas sistēmā, kurai recepte izrakstīta, persona farmaceitam vai farmaceita asistentam uzrāda savu personu apliecinošu dokumentu un nosauc tās personas vārdu un uzvārdu, kurai recepte izrakstīta. Pārējos gadījumos, kad zāles iegādājas persona, kurai recepte nav izrakstīta, tā farmaceitam vai farmaceita asistentam uzrāda receptes identifikācijas numuru un nosauc tās personas vārdu un uzvārdu, kurai recepte izrakstīta. Ja nosauktās personas vārds, uzvārds nesakrīt ar veselības informācijas sistēmā pieejamo informāciju, farmaceits vai farmaceita asistents zāles neizsniedz. Farmaceits vai farmaceita asistents veselības informācijas sistēmā norāda tās personas vārdu, uzvārdu un personas kodu, kura iegādājusies elektroniskajā receptē izrakstītās zāles.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apšaubīts, ka projektā noteiktās personu identificējošās informācijas apstrāde ir nepieciešama attiecīgu funkciju veikšanai, taču, lai būtu izprotams attiecīgo personas datu apstrādes tiesiskais pamats, aicinām to detalizētāk aprakstīt projekta anotācijā, norādot, kādam mērķim nepieciešams apstrādāt attiecīgos personas datu veidus, piemēram, kādam nolūkam veselības informācijas sistēmā norādāms gan personas vārds, uzvārds, gan personas kods, kura iegādājusies elektroniskajā receptē izrakstītās zāles. Minētais priekšlikums par anotācijas papildināšanu attiecināms arī uz pārējiem projekta punktiem, kuri paredz fizisko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Aptieka saskaņā ar normatīvajiem aktiem par vienotā veselības nozares elektroniskā informācijas sistēmu tiešsaistē sniedz informāciju par izrakstītajām un izsniegtajām zālēm un medicīniskajām ierīcēm, kas izrakstītas uz īpašās receptes veidlapas, vai par zālēm, kas izrakstītas uz parastās receptes veidlapas, norādot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nolūkos, lai tiesību normu varētu piemērot atbilstoši tās mērķim, lūdzam precizēt kur (ja nepieciešams arī kam) aptieka sniedz noteikto informāciju. No normas noprotams, ka 64.punkts paredz, kādu informāciju aptieka sniedz vienotajā veselības nozares elektroniskajā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administratīvo procesu saprot procesu, kas regulēts Administratīvā procesa likumā, lūdzam izvērtēt anotācijas 2.1. apakšsadaļā ietverto informāciju par to, ka ārstniecības iestādēm regulējums nosaka recepšu veidlapu saņemšanas, uzglabāšanas un izsniegšanas kārtību, netieši ietekmējot administratīvo procesu un resursu plānošanu,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aizpildīšanā izmantot Valsts kancelejas 2021. gada vadlīnijas sākotnējās ietekmes novērtēšanai un novērtējuma ziņojuma sagatavošanai vienotajā tiesību aktu izstrādes un saskaņošanas portālā un tajās noteikto attiecībā uz datu aizsardzību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23.04.2026.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23.04.2026.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