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26. novembra noteikumos Nr. 748 "Eiropas Savienības kohēzijas politikas programmas 2021.–2027. gadam 1.2.2. specifiskā atbalsta mērķa "Izmantot digitalizācijas priekšrocības uzņēmējdarbības attīstībai" 1.2.2.1. pasākuma "Atbalsts procesu digitalizācijai komercdarbībā"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27.</w:t>
            </w:r>
            <w:r w:rsidR="00000000" w:rsidRPr="00000000" w:rsidDel="00000000">
              <w:rPr>
                <w:vertAlign w:val="superscript"/>
                <w:rtl w:val="0"/>
              </w:rPr>
              <w:t xml:space="preserve">1</w:t>
            </w:r>
            <w:r w:rsidR="00000000" w:rsidRPr="00000000" w:rsidDel="00000000">
              <w:rPr>
                <w:rtl w:val="0"/>
              </w:rPr>
              <w:t xml:space="preserve"> punktā, 28.punktā paredzētos grozījumus, ar kuriem tiek papildinātas atbalstāmās darbības, aicinām anotācijā iekļaut informāciju par šo izmaiņu ietekmi uz SAM mērķa un rādītāju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Olsone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noteikumu projekta anotācijā attiecībā uz izmaiņām finansējumā ietvert informāciju, norādot, kur tiek pārvirzīts elastības finansējums, </w:t>
            </w:r>
            <w:r w:rsidR="00000000" w:rsidRPr="00000000" w:rsidDel="00000000">
              <w:rPr>
                <w:rtl w:val="0"/>
              </w:rPr>
              <w:t xml:space="preserve">un aktualizētus intervences kodus izdevumu pozīcijām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Olsone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r w:rsidR="00000000" w:rsidRPr="00000000" w:rsidDel="00000000">
              <w:rPr>
                <w:vertAlign w:val="superscript"/>
                <w:rtl w:val="0"/>
              </w:rPr>
              <w:t xml:space="preserve">1</w:t>
            </w:r>
            <w:r w:rsidR="00000000" w:rsidRPr="00000000" w:rsidDel="00000000">
              <w:rPr>
                <w:rtl w:val="0"/>
              </w:rPr>
              <w:t xml:space="preserve"> Finansējuma saņēmējs, sniedzot atbalstu, nodrošina šādu rādītāju 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49.</w:t>
            </w:r>
            <w:r w:rsidR="00000000" w:rsidRPr="00000000" w:rsidDel="00000000">
              <w:rPr>
                <w:vertAlign w:val="superscript"/>
                <w:rtl w:val="0"/>
              </w:rPr>
              <w:t xml:space="preserve">1</w:t>
            </w:r>
            <w:r w:rsidR="00000000" w:rsidRPr="00000000" w:rsidDel="00000000">
              <w:rPr>
                <w:rtl w:val="0"/>
              </w:rPr>
              <w:t xml:space="preserve"> punktā ir iekļauti nacionālie rādītāji. Gadījumā, ja tie ir nacionālie rādītāji, lūdzam atbilstoši precizēt minētā punkta redakciju un sniegt informāciju par to uzraudzību atbildīgo institūciju, kā arī sekām, kuras iestājas, ja tie netiks sasniegti.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1.1. Sadaļas apakšsadaļu "Apraksts" ar informāciju, ka noteikumu projekts paredz papildināt labuma guvēju loku ar biedrībām un nodibinājumiem.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Kapilova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sniegtajai informācijai sadarbības iestāde ir uzsākusi 1.2.2.1. pasākuma projekta iesnieguma atlases dokumentācijas izstrādi. Vēršam uzmanību, ka atlases dokumentācija, t.sk. nolikums un tā pielikumi jau ir apstiprināti. Lūdzam atbilstoši precizēt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apakšsadaļā "Risinājuma apraksts" norādīts, ka sadarbības iestāde ir uzsākusi projekta iesnieguma atlases dokumentācijas izstrādi, un atbilstoši atlases laika grafikam projekta iesniegšana paredzēta līdz 2025. gada 30. aprīlim, un ka projekta atlases nolikumu šis Ministru kabineta 2024. gada 26. novembra noteikumu Nr. 748 "Eiropas Savienības kohēzijas politikas programmas 2021.–2027. gadam 1.2.2. specifiskā atbalsta mērķa "Izmantot digitalizācijas priekšrocības uzņēmējdarbības attīstībai" 1.2.2.1. pasākuma "Atbalsts procesu digitalizācijai komercdarbībā" īstenošanas noteikumi" (turpmāk - noteikumi Nr. 748) grozījumu projekts neietekmēs. Kaut arī grozījumiem nav paredzēta ietekme uz projekta atlases nolikumu, lūdzam papildināt anotāciju ar informāciju, vai Latvijas Investīciju un attīstības aģentūra kā plānotais projekta iesniedzējs tiks informēts par ierosinātajiem grozījumiem, lai projekta iesnieguma iesniegšanas laikā projekta iesniedzējam būtu viennozīmīga izpratne spēkā esošajiem un plānotajiem pasākuma īstenošanu regulējošajiem Ministru kabineta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papildināt pamatojumu attiecībā uz vienkāršoto izmaksu svītrošanu. No esošā pamatojuma nav saprotams, kāpēc ar grozījumiem izslēdzot nefinanšu atbalstu un iekļaujot mākslīgā intelekta risinājuma ieviešanu, vienkāršoto izmaksu metodika kļuvusi nederīga vai tās piemērošana neiespējama.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Olsone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1.3.sadaļas apakšsadaļas "Pašreizējā situācija" pirmo teikumu papildināt ar pilnu ziņojuma nosaukumu, lai ir viennozīmīgi skaidrs minētais informācijas avots.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Kapilova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anotācijā norādīto pamatojumu par noteikumu 44.1. apakšpunktā minētā izņēmuma (nepiemērojot ES fondu 2021.-2027.gada plānošanas perioda vadības likuma 22.panta pirmās daļas 5.punkta nosacījumus) iekļaušanu, proti, vai Sodu reģistrā nav iespējams pārbaudīt informāciju par personu/personām, kas pārstāv projektu iesniedzēju, pēc norādītajiem kritērijiem, un kā sadarbības iestāde līdz šim šo nosacījumu izpildi praksē ir pārbaudījusi.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Olsone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punktu “Cita informāciju” papildināt ar informāciju par elastības finansējuma samazinājuma apmēru un iemeslu, ka arī norādīt, ka minētais samazinājums neietekmē 1.2.2.1. pasākuma īstenošanai pieejamo finansējuma apmēru. Turklāt lūdzam norādīt, ka noteikumu projektā paredzētās izmaiņas, tajā skaitā gala labuma guvēju loka paplašināšana un atbalsta sniegšana mākslīgā intelekta risinājuma ieviešanai, tiks nodrošinātas 1.2.2.1. pasākuma īstenošanai plānotā finansējuma ietvaros. Vienlaikus aicinām izvērtēt šobrīd paredzēto valsts budžeta līdzfinansējuma apmēru, ņemot vērā, ka noņemot elastības finansējumu valsts budžeta daļai būtu jābūt 3 488 690 euro nevis 3 488 689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vienkāršoto izmaksu piemērošanas nosacījumus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atstāt minēto punktu, jo noteikumi paredz piemērot vienoto likmi personāla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Kristiāna Vecvanaga-Borovska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publisko atbalstu papildinošās privātās investīcijas (tai skaitā granti, finanšu instrumenti) – 2 870 869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Kohēzijas programmai 2021.-2027. gadam 11.3. punktā iekļautais rādītājs ir rezultāta rādītājs. Lūdzam atbilstoši precizēt MK noteikumu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licences iegādes vai abonēšanas un sertificēšanas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precizēt noteikumu Nr. 748 plānoto 29.2. apakšpunktu, jo 29.1. apakšpunktā jau noteiktas licences iegādes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analogi izvērtēt arī plānotā 29.</w:t>
            </w:r>
            <w:r w:rsidR="00000000" w:rsidRPr="00000000" w:rsidDel="00000000">
              <w:rPr>
                <w:vertAlign w:val="superscript"/>
                <w:rtl w:val="0"/>
              </w:rPr>
              <w:t xml:space="preserve">1</w:t>
            </w:r>
            <w:r w:rsidR="00000000" w:rsidRPr="00000000" w:rsidDel="00000000">
              <w:rPr>
                <w:rtl w:val="0"/>
              </w:rPr>
              <w:t xml:space="preserve">2. apakšpunkta redakciju, jo plānotajā 29.</w:t>
            </w:r>
            <w:r w:rsidR="00000000" w:rsidRPr="00000000" w:rsidDel="00000000">
              <w:rPr>
                <w:vertAlign w:val="superscript"/>
                <w:rtl w:val="0"/>
              </w:rPr>
              <w:t xml:space="preserve">1</w:t>
            </w:r>
            <w:r w:rsidR="00000000" w:rsidRPr="00000000" w:rsidDel="00000000">
              <w:rPr>
                <w:rtl w:val="0"/>
              </w:rPr>
              <w:t xml:space="preserve">1. apakšpunktā arī jau noteiktas licences iegādes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Kapilova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4. mākslīgā intelekta risinājuma licences iegādes vai abonēšanas un sertificēšanas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precizēt noteikumu Nr. 748 plānoto 29.</w:t>
            </w:r>
            <w:r w:rsidR="00000000" w:rsidRPr="00000000" w:rsidDel="00000000">
              <w:rPr>
                <w:vertAlign w:val="superscript"/>
                <w:rtl w:val="0"/>
              </w:rPr>
              <w:t xml:space="preserve">1</w:t>
            </w:r>
            <w:r w:rsidR="00000000" w:rsidRPr="00000000" w:rsidDel="00000000">
              <w:rPr>
                <w:rtl w:val="0"/>
              </w:rPr>
              <w:t xml:space="preserve">4.apakšpunktu, jo tas daļēji dublē plānoto 29.</w:t>
            </w:r>
            <w:r w:rsidR="00000000" w:rsidRPr="00000000" w:rsidDel="00000000">
              <w:rPr>
                <w:vertAlign w:val="superscript"/>
                <w:rtl w:val="0"/>
              </w:rPr>
              <w:t xml:space="preserve">1</w:t>
            </w:r>
            <w:r w:rsidR="00000000" w:rsidRPr="00000000" w:rsidDel="00000000">
              <w:rPr>
                <w:rtl w:val="0"/>
              </w:rPr>
              <w:t xml:space="preserve">3.apakšpunktu.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Kapilova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Šajos noteikumos minētās izmaksas finansējuma saņēmējam ir attiecināmas no projekta iesnieguma iesniegšanas dienas. Šajos noteikumos minētās izmaksas gala labuma guvējam ir attiecināmas no pieteikuma iesniegšanas dienas Finansējuma saņēmējam.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informāciju, kāda būs rīcība, ja gala labuma guvēja pieteikums tiks iesniegts, bet netiks atbalstīts. Vai šajā gadījumā risku uzņemas pats labuma guvējs, ņemot vērā, ka izmaksas attiecināmas no pieteikuma iesniegšanas brīža?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Kapilova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25-TA-184</w:t>
    </w:r>
    <w:r>
      <w:br/>
    </w:r>
    <w:r w:rsidR="00000000" w:rsidRPr="00000000" w:rsidDel="00000000">
      <w:rPr>
        <w:rtl w:val="0"/>
      </w:rPr>
      <w:t xml:space="preserve">Izdrukāts 20.02.2025. 22.12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25-TA-184</w:t>
    </w:r>
    <w:r>
      <w:br/>
    </w:r>
    <w:r w:rsidR="00000000" w:rsidRPr="00000000" w:rsidDel="00000000">
      <w:rPr>
        <w:rtl w:val="0"/>
      </w:rPr>
      <w:t xml:space="preserve">Izdrukāts 20.02.2025. 22.12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Atzinumi_25-TA-184.docx</dc:title>
</cp:coreProperties>
</file>

<file path=docProps/custom.xml><?xml version="1.0" encoding="utf-8"?>
<Properties xmlns="http://schemas.openxmlformats.org/officeDocument/2006/custom-properties" xmlns:vt="http://schemas.openxmlformats.org/officeDocument/2006/docPropsVTypes"/>
</file>