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fondu projektu pārbaužu veikšanas kārtība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aicina sniegt skaidrojumu (iekļaujot to arī noteikumu projekta anotācijā), kādi iekšējie vai ārējie normatīvie akti paredz kritērijus vienveidīgai un objektīvai pārkāpumu būtiskuma izvērtēšanai, pēc kuriem vadoties, sadarbības iestāde lemj, vai izdevumi, kuri saistīti ar konkrēto iepirkumu, ir pilnīgi vai daļēji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25. punkta aktuālā redakcija šobrīd paredz rīcības/ izvēles brīvības pieļāvumu lēmumā par izdevumu pilnīgu vai daļēju neatbilstību pat, ja par projekta iepirkumu ir sniegts negatīvs atzinums, kas var radīt augstus korupcijas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vērtējumā negatīva atzinuma gadījumā sadarbības iestādei būtu jāparedz pienākums lemt, ka izdevumi, kuri saistīti ar attiecīgo iepirkumu, ir pilnīgi vai daļēji (atkarībā no pārkāpuma būtiskuma) neatbilstoši.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lemj, ka izdevumi, kuri saistīti ar attiecīgo iepirkumu, ir pilnīgi vai daļēji (atkarībā no pārkāpuma būtiskuma) neatbilstoši.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03.11.2022.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03.11.2022.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Atzinumi_22-TA-1963.docx</dc:title>
</cp:coreProperties>
</file>

<file path=docProps/custom.xml><?xml version="1.0" encoding="utf-8"?>
<Properties xmlns="http://schemas.openxmlformats.org/officeDocument/2006/custom-properties" xmlns:vt="http://schemas.openxmlformats.org/officeDocument/2006/docPropsVTypes"/>
</file>