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Apdrošināšanas brokeru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750 </w:t>
            </w:r>
            <w:r w:rsidR="00000000" w:rsidRPr="00000000" w:rsidDel="00000000">
              <w:rPr>
                <w:i w:val="1"/>
                <w:rtl w:val="0"/>
              </w:rPr>
              <w:t xml:space="preserve">euro</w:t>
            </w:r>
            <w:r w:rsidR="00000000" w:rsidRPr="00000000" w:rsidDel="00000000">
              <w:rPr>
                <w:rtl w:val="0"/>
              </w:rPr>
              <w:t xml:space="preserve"> gadā un papildus līdz 0,1 procentam (ieskaitot) no pārskata gada atlīdzības par apdrošināšanas vai pārapdrošināšanas izplatīšanu un ieņēmumiem no apdrošināšanas un pārapdrošināšanas riska parakstīšanas.”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jau iepriekš pauda iebildumus pret krasu uzraudzības maksājumu apmēra palielināšanu. Ar precizēto redakciju, uzraudzības maksājumu apmēra pieaugums ir palielināts vēl vairāk. Līdzšinējais apdrošināšanas brokeru uzraudzības maksājumu apmērs ir noteikts līdz 0,7 procentiem no pārskata gada atlīdzības par apdrošināšanas vai pārapdrošināšanas izplatīšanu, bet ne mazāk par 150 euro un ne vairāk par 1000 euro gadā. Piemēram, Lietuvā apdrošināšanas brokeri, kurus arī uzrauga Lietuvas centrālā banka, uzraudzības maksājumos maksā nedaudz virs 400 EUR gadā. Lai uzraudzības maksājumu palielinājums būtu mērenāks, var piekrist maksājamās procentu likmes samazināšanai, bet būtu samazināma maksājumu zemākā robeža, lai samazinātu finansiālo slogu mazajiem brokeriem un atvieglotu jaunu brokeru ienākšanu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60.panta trešā daļa būtu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500 euro gadā un papildus līdz 0,1 procentam (ieskaitot) no pārskata gada atlīdzības par apdrošināšanas vai pārapdrošināšanas izplatīšanu un ieņēmumiem no apdrošināšanas un pārapdrošināšanas riska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16.04.2026.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16.04.2026.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