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1.pantā esošo atsauci uz 10.panta divpadsmito daļu, jo tā neregulē reģistrācijas pienākumu ārvalstīs reģistrētam transportlīdzeklim.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Kraņevska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Transportlīdzekļa ekspluatācijas nodokļa un uzņēmumu vieglo transportlīdzekļu nodokļa likums (turpmāk - TEN un UVTN likums) regulē transportlīdzekļu nodokļu normas, taču nenosaka ārvalstīs reģistrēta transportlīdzekļa ekspluatācijas kārtību, līdz ar to atsauce anotācijā uz šo normatīvo aktu ir mulsinoša. Aicinām izvērtēt nepieciešamību anotācijā atsaukties uz TEN un UVTN likumu vai sniegt izvērstāku skaidrojumu anotācijā par likumprojekta normu piemērošanas saistību ar TEN un UVTN likuma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Kraņevska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22.06.2023. 12.26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22.06.2023. 12.26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Atzinumi_23-TA-1389.docx</dc:title>
</cp:coreProperties>
</file>

<file path=docProps/custom.xml><?xml version="1.0" encoding="utf-8"?>
<Properties xmlns="http://schemas.openxmlformats.org/officeDocument/2006/custom-properties" xmlns:vt="http://schemas.openxmlformats.org/officeDocument/2006/docPropsVTypes"/>
</file>