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mērķis ir publiskās ārtelpas attīstīšana pilsētu funkcionālajās teritorijās, uzlabojot dzīves vides kvalitāti un palielinot sabiedrības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ārtelpa un šāda apjoma projekti parasti skar noteikto teritoriju apmeklētājus no citām pašvaldībām, reģioniem un valstīm, prioritāri kā pašvaldība, protams, saglabājot fokusu uz primāro mērķauditoriju vietējie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pasākumu mērķi papildināt un precizēt: “Pasākuma mērķis ir publiskās ārtelpas attīstīšana pilsētu funkcionālajās teritorijās, uzlabojot dzīves vides kvalitāti, palielinot sabiedrības drošību, kā arī nodrošinot rekreācijai un izziņai atbilstošu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 varētu būt ar tūrismu un atpūtu saistīti objekti.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mērķgrupa ir nacionālas un reģionālas nozīmes attīstības centru un to funkcionālo teritoriju pašvaldības, plānošanas reģioni un iedzīvotāji.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Definētā mērķgrupa ir sakombinēta no dažāda svara kritērijiem, attiecīgi lūdzam precizēt to, vienlaikus paplašinot mērķgrupu atbilstoši lietojumam un papildinātam mērķim: “Pasākuma mērķgrupa ir nacionālas un reģionālas nozīmes attīstības centru un to funkcionālo teritoriju pašvaldību iedzīvotāji, kā arī vietējie un  ārvalstu tūristi.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minimālais attiecināmo izmaksu apmērs nav mazāks par 200 000</w:t>
            </w:r>
            <w:r w:rsidR="00000000" w:rsidRPr="00000000" w:rsidDel="00000000">
              <w:rPr>
                <w:i w:val="1"/>
                <w:rtl w:val="0"/>
              </w:rPr>
              <w:t xml:space="preserve"> euro</w:t>
            </w:r>
            <w:r w:rsidR="00000000" w:rsidRPr="00000000" w:rsidDel="00000000">
              <w:rPr>
                <w:rtl w:val="0"/>
              </w:rPr>
              <w:t xml:space="preserve">, un projekta iesnieguma maksimālais ERAF finansējums ir 560 000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kvalificēties atbalstam pašvaldībām, kuras plāno publiskās ārtelpas investīciju projektus, t.sk. pašvaldības līdzfinansējuma nodrošināšanu mazākā apjomā, lūdzam noteikt zemāku minimālo attiecināmo izmaksu apmēru vienam projektam, nosakot to 100 000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minimālais attiecināmo izmaksu apmērs nav mazāks par 200 000</w:t>
            </w:r>
            <w:r w:rsidR="00000000" w:rsidRPr="00000000" w:rsidDel="00000000">
              <w:rPr>
                <w:i w:val="1"/>
                <w:rtl w:val="0"/>
              </w:rPr>
              <w:t xml:space="preserve"> euro</w:t>
            </w:r>
            <w:r w:rsidR="00000000" w:rsidRPr="00000000" w:rsidDel="00000000">
              <w:rPr>
                <w:rtl w:val="0"/>
              </w:rPr>
              <w:t xml:space="preserve">, un projekta iesnieguma maksimālais ERAF finansējums ir 560 000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publiskās ārtelpas attīstības iespējas nepieciešamajā apjomā un kvalitātē valstspilsētu teritorijās, lūdzam noteikt augstāku maksimālo attiecināmo izmaksu apmēru vienam projektam, nosakot to 1 200 000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nenoteikt ERAF finansējuma izmaksu ierobežojumu uz vienu m2, kā tas ir ietverts projekta iesniegumu vērtēšanas kritēriju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būt pašvaldība, tās izveidota iestāde vai pašvaldības kapitālsabiedrība,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projekta iesniedzējs var būt publiski privāta kapitālsabiedrība, kuras kapitāla daļas pieder vienai vai vairākām pašvaldībām un publiskām personām, kas veic pašvaldības deleģēto pārvaldes uzdevumu izpildi. Piemēram, reģionālās slimnīcām ir noslēgti līgumi par pašvaldības deleģētā pārvaldes uzdevuma izpildi un tās kapitāla daļas pieder nevis vienai, bet vairākām pašvaldībām un publiskai personai (piem., Rīgas Stradiņa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atbalsta pretendenta loka neizslēgtu kapitālsabiedrības, kas pieder vairākām pašvaldībām un publiskai personai un kas veic pašvaldības deleģēto pārvaldes uzdevumu izpildi, kā arī novērstu termina interpretācijas risku, rosinām Noteikumu projekta 19.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būt pašvaldība, tās izveidota iestāde vai kapitālsabiedrība, kurā kapitāla daļas pieder vienai vai vairākām pašvaldībām vai publiskām personām un kas veic pašvaldības deleģēto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teritorijas labiekārtošana un ar to saistītie pasākumi, tai skaitā dzeramā ūdens brīvkrānu ierīkošana un pasākumi, kas veicina oglekļa dioksīda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publiskās ārtelpas attīstīšanas pilsētu funkcionālajās teritorijās atbalstāmajās darbībās ietvert arī kultūras, sporta un izklaides vērtību attīstīšanu, tādēļ rosinām Noteikumu projekta 24.1.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teritorijas labiekārtošana un ar to saistītie pasākumi, tai skaitā kultūras, sporta un izklaides vērtību un iespēju attīstīšana un viedo tehnoloģiju izmantošana dzīves kvalitātes uzlabošanai, dzeramā ūdens brīvkrānu ierīkošana un pasākumi, kas veicina oglekļa dioksīda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publiskas ārtelpas labiekārtošana, ietverot “zaļās” un “zilās” infrastruktūras attīstību,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11. panta 4. daļa nosaka, ka ārtelpas labiekārtojuma elements ir ainavas un pilsētvides dizaina elements (tai skaitā mazā arhitektūras forma) un cita ar zemi vai gultni saistīta ķermeniska lieta, kura radusies būvdarbu rezultātā un kurai nav nosakāms būves lietošanas veids atbilstoši normatīvajiem aktiem par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09.05.20217. noteikumu Nr. 253 “Atsevišķu inženierbūvju būvnoteikumi” 6.3.4. apakšpunktā noteikts, ka labiekārtojuma elementi ir soliņi, celiņi, vaļēja terase (kas nav saistīta ar ēku)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25.3.14. apakšpunktā noteiktais ierobežojums attiecas uz visu noteikumu projekta 25.3. apakšpunkta apakšpunktos minēto labiekārtojuma elementu (piemēram, žogi, soliņi un galdi, velosipēdu novietnes, atkritumu šķirošanas tvertnes u.c., kā arī 25.3.15. apakšpunktā minētie labiekārtojuma elementi, piemēram, rotaļlaukumu aprīkojums, brīvdabas sporta rīki u.c.) uzstādīšanu, papildus pieskaitot vizuālās mākslas objektu un to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noteikuma projekta 25.3.14. apakšpunktu ar to apakšpunktu uzskaitījumu, kuros minēti attiecīgie labiekārtojuma elementi, uz kuriem attiecas noteikumu projekta 25.3.14. apakšpunktā noteiktais uzstādīšanas izmaksu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25.3.5. gājēju kustībai nepieciešamā infrastruktūra, ievērojot universālā dizaina principus, un velosipēdu ceļi, kas ir parka, skvēra, promenādes vai citas projekta ietvaros attīstāmās teritorijas daļa, vai nodrošina piekļuvi publiskajiem ūdeņiem;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finansējuma ietvaros nepieciešams ietvert arī vienkāršas konstrukcijas gājēju tiltu būvniecību, kas daudzos gadījumos tiek izmantots gan kā būtisks pārvietošanas veids parkos ar nelieliem dabiski vai mākslīgi veidotām ūdenskrātuvēm, gan teritorijām funkcionālās pilsētu teritorijās pie dabiskām ūdenstilpnēm (upēm, ezeriem) ar dabiski veidotām attekām. Bieži vien tā ir vide, kas tiek izmantota pilsētu rekreācijas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25.3.5. ar vārdu “…gājēju tilti, un velosipēdu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25.3.15. citi labiekārtošanas darbi, piemēram, rotaļlaukumu izveide, brīvdabas sporta rīku izvietošana, elektrouzlādes punktu ierīkošana digitālo ierīču uzlādei un mikromobilitātes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detalizētākus publiskās ārtelpas labiekārtošanas atbalsta nosacījumus, rosinām papildināt Noteikumu projekta 25.3.15.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“25.3.15. citi labiekārtošanas darbi, piemēram, rotaļlaukumu un brīvdabas aktīvās atpūtas laukumu izveide, brīvdabas sporta rīku izvietošana, elektrouzlādes punktu ierīkošana digitālo ierīču uzlādei un mikromobilitātes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50 procentiem no projektam piešķirtā ERAF finansējuma pēc civiltiesiskā līguma vai vienošanās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maksājuma ierobežojums līdz 50% palielina pašvaldību nepieciešamību piesaistīt aizņēmuma resursus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aizņemšanās apjoma palielināšana projektu īstenošanai atstātu negatīvu ietekmi uz valdības sektora kopējo parāda apjomu, ietekmējot valsts kopējos finanšu stabilitātes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Ministru kabineta noteikumu projekta 43.punktu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90 procentiem no projektam piešķirtā ERAF finansējuma pēc civiltiesiskā līguma vai vienošanās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pašvaldību attīstības programmās paredzētie projekti, kurus īsteno pilsētu funkcionālajās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nepieciešamās informācijas saturu un apjomu šī punkta izpildei, tas ir, attīstības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27.01.2023.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27.01.2023.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