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pilnveido informatīvās sistēmas analītisko funkcionalitāti, tai skaitā izveido datu analītikas moduli, ievērojot noteiktos digitālās piekļūstamības standartus;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nav nepieciešams atsaukties uz digitālās piekļūstamības standartiem - šāda norāde jau iekļauta nākamajā noteikumu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 informatīvās sistēmas analītisko funkcionalitāti, tajā skaitā izveido datu analītikas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16.05.2023. 05.48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16.05.2023. 05.48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Atzinumi_23-TA-73.docx</dc:title>
</cp:coreProperties>
</file>

<file path=docProps/custom.xml><?xml version="1.0" encoding="utf-8"?>
<Properties xmlns="http://schemas.openxmlformats.org/officeDocument/2006/custom-properties" xmlns:vt="http://schemas.openxmlformats.org/officeDocument/2006/docPropsVTypes"/>
</file>