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salāgojot tajā norādīto no Pilsonības un migrācijas lietu pārvaldes iegūstamo datu apjomu ar projekta 42.punktā noteikto (</w:t>
            </w:r>
            <w:r w:rsidR="00000000" w:rsidRPr="00000000" w:rsidDel="00000000">
              <w:rPr>
                <w:i w:val="1"/>
                <w:rtl w:val="0"/>
              </w:rPr>
              <w:t xml:space="preserve">finansējuma saņēmējs sadarbojas ar Pilsonības un migrācijas lietu pārvaldi, lai pārbaudītu katras personas vecumu, dzimumu, </w:t>
            </w:r>
            <w:r w:rsidR="00000000" w:rsidRPr="00000000" w:rsidDel="00000000">
              <w:rPr>
                <w:i w:val="1"/>
                <w:u w:val="single"/>
                <w:rtl w:val="0"/>
              </w:rPr>
              <w:t xml:space="preserve">deklarēto dzīves vietu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09.12.2024.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09.12.2024.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