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Izglītības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Latvijas Pašvaldību savienība iebilst pret Grozījumu Izglītības likumā tālāku virzību</w:t>
            </w:r>
            <w:r w:rsidR="00000000" w:rsidRPr="00000000" w:rsidDel="00000000">
              <w:rPr>
                <w:rtl w:val="0"/>
              </w:rPr>
              <w:t xml:space="preserve"> izskatīšanai Ministru kabineta sēdē līdz tiks nodrošināts finansējums pedagogu atalgojumam izglītības sistēmā 2025.gada budžetā un vidēja termiņa 2026., 2027., un 2028.gadiem.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</w:t>
    </w:r>
    <w:r>
      <w:br/>
    </w:r>
    <w:r w:rsidR="00000000" w:rsidRPr="00000000" w:rsidDel="00000000">
      <w:rPr>
        <w:rtl w:val="0"/>
      </w:rPr>
      <w:t xml:space="preserve">Izdrukāts 21.08.2024. 18.47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</w:t>
    </w:r>
    <w:r>
      <w:br/>
    </w:r>
    <w:r w:rsidR="00000000" w:rsidRPr="00000000" w:rsidDel="00000000">
      <w:rPr>
        <w:rtl w:val="0"/>
      </w:rPr>
      <w:t xml:space="preserve">Izdrukāts 21.08.2024. 18.47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