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nevar būt pakalpojumu sniedzējam nelabvēlīga administratīvā akta izdošanas vienīgais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panta otro daļu, jo jautājumu attiecībā uz administratīvo aktu pamatojumu regulē Administratīvā procesa likums, proti, atbilstoši Administratīvā procesa likuma 67.panta otrajā daļā noteiktajam, rakstveidā izdots administratīvais akts satur noteiktas sastāvdaļas, </w:t>
            </w:r>
            <w:r w:rsidR="00000000" w:rsidRPr="00000000" w:rsidDel="00000000">
              <w:rPr>
                <w:u w:val="single"/>
                <w:rtl w:val="0"/>
              </w:rPr>
              <w:t xml:space="preserve">tai skaitā piemēroto tiesību normu uzskaitījumu.</w:t>
            </w:r>
            <w:r w:rsidR="00000000" w:rsidRPr="00000000" w:rsidDel="00000000">
              <w:rPr>
                <w:rtl w:val="0"/>
              </w:rPr>
              <w:t xml:space="preserve"> Saskaņā ar Administratīvā procesa likuma 67.panta ceturto daļu iestāde administratīvo aktu pamato ar Satversmi, likumiem, Ministru kabineta noteikumiem vai pašvaldību saistošajiem noteikumiem, starptautisko tiesību vai Eiropas Savienības normām, kā arī vispārējiem tiesību principiem. Administratīvā procesa likuma 67. panta sestajā noteikts, ka iestāde nedrīkst pamatot administratīvo aktu ar iekšējo normatīvo aktu. Ja iestāde ir piemērojusi iekšējo normatīvo aktu, to administratīvā akta pamatojumā min, norādot iekšējā normatīvā akta izdevēju, izdošanas datumu, nosaukumu un piemēroto tiesību normu. Šai norādei ir informatīvs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2014. gada 9. decembra noteikumi Nr. 755 “Gāzes balonu aprites, uzraudzības un kontroles kārtība”, ciktāl tie nav pretrunā ar šo likumu, ir spēkā līdz dienai, kad stājas spēkā tos aizstājoši Ministru kabineta noteikumi, kas izdoti saskaņā ar šā likuma 7. pantu. Ministru kabinets šādus Ministru kabineta noteikumus izdod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pārejas noteikumu 2. punktā minētie Ministru kabineta noteikumi, kurus paredzēts izdot līdz 2025. gada 1. jūlijam uz projekta 7. pantā ietvertā pilnvarojuma pamata, ņemot vērā tajos regulējamo saturisko jautājumu loku (proti, </w:t>
            </w:r>
            <w:r w:rsidR="00000000" w:rsidRPr="00000000" w:rsidDel="00000000">
              <w:rPr>
                <w:u w:val="single"/>
                <w:rtl w:val="0"/>
              </w:rPr>
              <w:t xml:space="preserve">gāzes balonu</w:t>
            </w:r>
            <w:r w:rsidR="00000000" w:rsidRPr="00000000" w:rsidDel="00000000">
              <w:rPr>
                <w:rtl w:val="0"/>
              </w:rPr>
              <w:t xml:space="preserve"> aprite), netiks drīzāk izdoti uz likumprojekta "Grozījumi likumā "Par atbilstības novērtēšanu" (24-TA-1754) 6. pantā ietvertā likuma 9.</w:t>
            </w:r>
            <w:r w:rsidR="00000000" w:rsidRPr="00000000" w:rsidDel="00000000">
              <w:rPr>
                <w:vertAlign w:val="superscript"/>
                <w:rtl w:val="0"/>
              </w:rPr>
              <w:t xml:space="preserve">12</w:t>
            </w:r>
            <w:r w:rsidR="00000000" w:rsidRPr="00000000" w:rsidDel="00000000">
              <w:rPr>
                <w:rtl w:val="0"/>
              </w:rPr>
              <w:t xml:space="preserve"> panta pamata: "</w:t>
            </w:r>
            <w:r w:rsidR="00000000" w:rsidRPr="00000000" w:rsidDel="00000000">
              <w:rPr>
                <w:i w:val="1"/>
                <w:rtl w:val="0"/>
              </w:rPr>
              <w:t xml:space="preserve">Ja noteiktas </w:t>
            </w:r>
            <w:r w:rsidR="00000000" w:rsidRPr="00000000" w:rsidDel="00000000">
              <w:rPr>
                <w:i w:val="1"/>
                <w:u w:val="single"/>
                <w:rtl w:val="0"/>
              </w:rPr>
              <w:t xml:space="preserve">preces</w:t>
            </w:r>
            <w:r w:rsidR="00000000" w:rsidRPr="00000000" w:rsidDel="00000000">
              <w:rPr>
                <w:i w:val="1"/>
                <w:rtl w:val="0"/>
              </w:rPr>
              <w:t xml:space="preserve"> vai </w:t>
            </w:r>
            <w:r w:rsidR="00000000" w:rsidRPr="00000000" w:rsidDel="00000000">
              <w:rPr>
                <w:i w:val="1"/>
                <w:u w:val="single"/>
                <w:rtl w:val="0"/>
              </w:rPr>
              <w:t xml:space="preserve">preču</w:t>
            </w:r>
            <w:r w:rsidR="00000000" w:rsidRPr="00000000" w:rsidDel="00000000">
              <w:rPr>
                <w:i w:val="1"/>
                <w:rtl w:val="0"/>
              </w:rPr>
              <w:t xml:space="preserve"> grupas var radīt nopietnu risku cilvēka dzīvībai, veselībai, videi vai īpašumam, Ministru kabinets nosaka speciālās prasības, tajā skaitā attiecībā uz </w:t>
            </w:r>
            <w:r w:rsidR="00000000" w:rsidRPr="00000000" w:rsidDel="00000000">
              <w:rPr>
                <w:i w:val="1"/>
                <w:u w:val="single"/>
                <w:rtl w:val="0"/>
              </w:rPr>
              <w:t xml:space="preserve">preču apriti</w:t>
            </w:r>
            <w:r w:rsidR="00000000" w:rsidRPr="00000000" w:rsidDel="00000000">
              <w:rPr>
                <w:i w:val="1"/>
                <w:rtl w:val="0"/>
              </w:rPr>
              <w:t xml:space="preserve">, vai nepieciešamos pasākumus riska mazināšanai vai novēršanai, kā arī to uzraudzības un kontroles kārtību</w:t>
            </w:r>
            <w:r w:rsidR="00000000" w:rsidRPr="00000000" w:rsidDel="00000000">
              <w:rPr>
                <w:rtl w:val="0"/>
              </w:rPr>
              <w:t xml:space="preserve">". Attiecīgi aicinām izvērtēt un, ja nepieciešams, izslēgt no projekta 2. pantu un pārcelt to uz minēto likumprojektu, vienlaikus izvērtējot arī iespēju pārejas noteikumu 1. punktu pārcelt uz minēto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un precizēt anotācijas 4. sadaļu. Piemēram, aicinām precizēt anotācijas 4.1.4. apakšsadaļu, jo, tā kā Ministru kabineta 2014. gada 9. decembra noteikumi Nr. 755 "Gāzes balonu aprites, uzraudzības un kontroles kārtība" (turpmāk - noteikumi Nr. 755) ir izdoti tikai uz Preču un pakalpojumu drošuma likumā ietvertā pilnvarojuma pamata, būs nepieciešams izdot jaunus Ministru kabineta noteikumus, nevis grozīt noteikumus Nr. 755.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w:t>
            </w:r>
            <w:r w:rsidR="00000000" w:rsidRPr="00000000" w:rsidDel="00000000">
              <w:rPr>
                <w:i w:val="1"/>
                <w:rtl w:val="0"/>
              </w:rPr>
              <w:t xml:space="preserve">[..] likumprojekta konstrukcija paredz, ka pamatā to piemēro jebkuram pakalpojumam, ko sniedz patērētājam Patērētāju tiesību aizsardzības likuma 1. panta 3. punkta izpratnē un kuriem ir tieša vai netieša ietekme uz cilvēka dzīvību vai veselību [..]</w:t>
            </w:r>
            <w:r w:rsidR="00000000" w:rsidRPr="00000000" w:rsidDel="00000000">
              <w:rPr>
                <w:rtl w:val="0"/>
              </w:rPr>
              <w:t xml:space="preserve">." Pirmkārt, aicinām svītrot vārdu "pamatā" kā lieku. Otrkārt, aicinām precīzi un pilnīgi norādīt likuma piemērošanas jomu atbilstoši likumprojekta 2.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anotācijā norādīto, ka "</w:t>
            </w:r>
            <w:r w:rsidR="00000000" w:rsidRPr="00000000" w:rsidDel="00000000">
              <w:rPr>
                <w:i w:val="1"/>
                <w:rtl w:val="0"/>
              </w:rPr>
              <w:t xml:space="preserve">ar likumprojektu tiek veiktas tehniska rakstura izmaiņas šobrīd spēkā esošajā Preču un pakalpojumu drošuma likuma regulējumā</w:t>
            </w:r>
            <w:r w:rsidR="00000000" w:rsidRPr="00000000" w:rsidDel="00000000">
              <w:rPr>
                <w:rtl w:val="0"/>
              </w:rPr>
              <w:t xml:space="preserve">". Piemēram, bet ne tikai, projektā, salīdzinot ar Preču un pakalpojumu drošuma likuma regulējumu, nav ietvertas normas par administratīvo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11.03.2025.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11.03.2025.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