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saskatītas iespējas izmantot finansējumu 2025. gadā un  attiecīgi lietderība veikt pārdali 2025. gadā, tad pārdales rīkojuma virzība atbalstāma pēc attiecīgo MK noteikumu grozījumu apstiprināšanas (25-TA-207; Grozījumi Ministru kabineta 2009. gada 15. septembra noteikumos Nr. 1065 "Noteikumi par aizdevumiem sīko (mikro), mazo un vidējo saimnieciskās darbības veicēju un lauksaimniecības un mežsaimniecības pakalpojumu kooperatīvo sabiedrību attīstības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programmas",lai nodrošinātu finansējuma pieejamību Latvijā reģistrētiem komersantiem komercsabiedrību vai to filiāļu dibināšanai, veidošanai un attīstīšanai Ukrainā.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resora "74. Gadskārtējā valsts budžeta izpildes procesā pārdalāmais finansējums" programmas 18.00.00 ''Finansējums valsts drošības stiprināšanas pasākumiem'' finansējums, kuru Ekonomikas ministrija plāno izmantot ar grozījumu projektu saistīto izdevumu segšanai, atbilstoši Ministru kabineta lēmumam rezervēts prioritāram pasākumam "Pasākumi Ukrainas atbalstam un globālās drošības veicināšanai", tam ir vienreizējs raksturs un tā piešķiršanas primārais mērķis ir atbalsts Ukrainas rekonstrukcijai un iemaksas Ukrainas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saskatītas iespējas izmantot finansējumu 2025. gadā un  attiecīgi lietderība veikt pārdali 2025. gadā, aicinām precizēt finansējuma pārdales mērķi, lai neveidotos pretruna starp finansējuma piešķiršanas un izlietošanas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 un 1.3.sadaļā likumu "Par valsts budžetu 2024. gadam un budžeta ietvaru 2024., 2025. un 2026. gadam" aizstāt ar likumu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apropriācijas pārdali tikai 2025.gadam, lūdzam anotācijas 1.3.sadaļā svītrot informāciju par finansējuma novirzīšanu arī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resora "74. Gadskārtējā valsts budžeta izpildes procesā pārdalāmais finansējums" programmas 18.00.00 ''Finansējums valsts drošības stiprināšanas pasākumiem'' finansējums, kuru Ekonomikas ministrija plāno izmantot ar grozījumu projektu saistīto izdevumu segšanai, atbilstoši Ministru kabineta lēmumam rezervēts prioritāram pasākumam "Pasākumi Ukrainas atbalstam un globālās drošības veicināšanai", tam ir vienreizējs raksturs un tā piešķiršanas primārais mērķis ir atbalsts Ukrainas rekonstrukcijai un iemaksas Ukrainas atbalstam. Aicinām precizēt sadaļas Cita infromācija norādīto, lai neveidotos pretruna starp finansējuma piešķiršanas un izlietošanas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budžetu, pārdalāmo finansējumu atspoguļojot 4.punktā, vienlaikus svītrojot precizēto finansiālo ietekmi 5.punktā. Turklāt lūdzam precizēt 6.2.apakšpunktā sniegto informāciju, svītrojot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04.11.2025.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04.11.2025.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Atzinumi_25-TA-352.docx</dc:title>
</cp:coreProperties>
</file>

<file path=docProps/custom.xml><?xml version="1.0" encoding="utf-8"?>
<Properties xmlns="http://schemas.openxmlformats.org/officeDocument/2006/custom-properties" xmlns:vt="http://schemas.openxmlformats.org/officeDocument/2006/docPropsVTypes"/>
</file>