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un recepšu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ir iepazinusies un nevar šo saskaņot, jo, pretēji anotācijā paustajam, farmaceitu darbs netiek pilnvērtīgi atalgots jau šobrīd, tādējādi nekāda nākotnē notiekoša izvērtēšana nav atbilde uz iepriekšējiem iebildumiem. Vēl vairāk - ministrijas un padotības iestāžu rīcībā jau pašaik ir dati, kas liecina par apkalpoto pirmreizējo un atkārtoto recepšu skaitu, sekojoši izvērtēšana ir izpildāma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un tās biedri atkārtoti uzsver, ka zāļu uzcenojumu reformas blakus darbība bija nodalīt farmaceita pakalpojuma maksu no zāļu uzcenojuma maksas, taču ar šiem noteikumiem reformas ideja nesasniedz mērķi, jo farmaceitam par darbu netiek maksāts pilnvērtīgi, un neapmaksātā darba epizožu skaits tikai palielināsies saistībā ar uz sešiem mēnešiem "pagarinātu" recepti.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šo noteikumu virzību apturēt, līdz būs skaidrs, kā iecerēts apmaksāt farmaceita darbu, kas saistīts ar atkārtotu receptes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par jauno recepšu termiņu vēl vairāk saasina jau tā esošu pamattiesību pārkāpumu, kurš tiek pilnībā ignorēts jaunā regulējuma pieņemšanas procesa ietvaros, par ko informējām VM, TM un VK nosūtītā vēstulē.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13.08.2026. 19.43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13.08.2026. 19.43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