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stratēģijā ir iekļauti vairāki uzdevumi, kur atbildīgā iestāde ir Ekonomikas ministrija, un kuru ietvaros tiek paredzētas investīcijas un atbalsts uzņēmumiem daudzu miljonu euro apmērā, lūdzam attiecīgi papildināt sadaļu “Nobeigums” ar informāciju par finansēšanas avotu minēto uzdevumu izpildei, norādot konkrētas Ekonomikas ministrijas budžeta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industrijas un inovāciju atbalsta stratēģija  (turpmāk – Stratēģija) satur informāciju par pasākumiem, kuriem atbalsts piešķirams no publiskajiem līdzekļiem un kuriem sniegtais atbalsts pirmšķietami varētu kvalificēties kā komercdarbības atbalsts, un, ņemot vērā to, ka Stratēģijā norādītā informācija: “Valsts atbalsta piešķiršana Stratēģijas īstenošanai tiks nodrošināta, ievērojot Komercdarbības atbalsta kontroles likumu.” ir pārāk šaura, lai nodrošinātu, ka Latvijā atbalsta pasākumi atbilst </w:t>
            </w:r>
            <w:r w:rsidR="00000000" w:rsidRPr="00000000" w:rsidDel="00000000">
              <w:rPr>
                <w:i w:val="1"/>
                <w:rtl w:val="0"/>
              </w:rPr>
              <w:t xml:space="preserve">Līguma par Eiropas Savienības darbību </w:t>
            </w:r>
            <w:r w:rsidR="00000000" w:rsidRPr="00000000" w:rsidDel="00000000">
              <w:rPr>
                <w:rtl w:val="0"/>
              </w:rPr>
              <w:t xml:space="preserve">prasībām komercdarbības atbalsta kontroles jomā, kā arī komercdarbības atbalsta nosacījumi jāievēro ne tikai, piešķirot komercdarbības atbalstu, bet arī, ieviešot un realizējot komercdarbības atbalsta pasākumus, lūdzam Stratēģiju papildināt ar informāciju, ka, plānojot un ieviešot atbalsta pasākumus, kuru ieviešanai un realizācijai plānots atbalsts no publiskajiem līdzekļiem, pasākumi tiks vērtēti komercdarbības atbalsta kontroles kontekstā, un, ja vienlaikus izpildīsies visas Komercdarbības atbalsta kontroles likuma 5. 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07.03.2025.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07.03.2025.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