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anotācijai ir noteikts</w:t>
            </w:r>
            <w:r w:rsidR="00000000" w:rsidRPr="00000000" w:rsidDel="00000000">
              <w:rPr>
                <w:u w:val="single"/>
                <w:rtl w:val="0"/>
              </w:rPr>
              <w:t xml:space="preserve"> ierobežotas</w:t>
            </w:r>
            <w:r w:rsidR="00000000" w:rsidRPr="00000000" w:rsidDel="00000000">
              <w:rPr>
                <w:rtl w:val="0"/>
              </w:rPr>
              <w:t xml:space="preserve"> pieejamības statuss, nepieciešams papildināt anotāciju, sniedzot </w:t>
            </w:r>
            <w:r w:rsidR="00000000" w:rsidRPr="00000000" w:rsidDel="00000000">
              <w:rPr>
                <w:u w:val="single"/>
                <w:rtl w:val="0"/>
              </w:rPr>
              <w:t xml:space="preserve">detalizētu pamatojumu</w:t>
            </w:r>
            <w:r w:rsidR="00000000" w:rsidRPr="00000000" w:rsidDel="00000000">
              <w:rPr>
                <w:rtl w:val="0"/>
              </w:rPr>
              <w:t xml:space="preserve"> minētā statusa piemērošanas nepieciešamībai.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“Līdzekļi neparedzētiem gadījumiem” piešķirt Veselības ministrijai (Neatliekamās medicīniskās palīdzības dienestam) finansējumu, kas nepārsniedz 110 705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lai nodrošinātu nepieciešamo individuālo aizsardzības līdzekļu (aizsardzībai pret CBRN) iegādi.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MK rīkojuma projekta 1.punktu, norādot burtu “CBRN” vietā pilnu paredzētā mērķa atšifrējumu, attiecīgi precizējot anotāciju.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22-TA-3430</w:t>
    </w:r>
    <w:r>
      <w:br/>
    </w:r>
    <w:r w:rsidR="00000000" w:rsidRPr="00000000" w:rsidDel="00000000">
      <w:rPr>
        <w:rtl w:val="0"/>
      </w:rPr>
      <w:t xml:space="preserve">Izdrukāts 24.11.2022.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22-TA-3430</w:t>
    </w:r>
    <w:r>
      <w:br/>
    </w:r>
    <w:r w:rsidR="00000000" w:rsidRPr="00000000" w:rsidDel="00000000">
      <w:rPr>
        <w:rtl w:val="0"/>
      </w:rPr>
      <w:t xml:space="preserve">Izdrukāts 24.11.2022.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