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23-TA-2102: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4.1.2.6. pasākuma "Uzlabot izglītības iespējas ārstniecības personām, t.sk. uzlabojot tālākizglītības pieejamību"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skaidrojumu par komercdarbības atbalsta neesamību finansējuma saņēmēja līmenī, jo tas nav korekts. Pirmkārt, finansējuma saņēmējs atbalsta pasākuma ietvaros ir Veselības ministrija, kas īsteno valsts funkcijas - nesaimniecisko darbību, nevis pakalpojumu sniedzēji, otrkārt, preču un pakalpojumu sniedzēju līmenī komercdarbības atbalsts visticamāk ir izslēgts, jo neizpildās ekonomiskās priekšrocības kritērijs, jo preču vai pakalpojumu sniedzējs tiks izvēlēts atklātas, pārredzamas, nediskriminējošas konkursa procedūras ietvaros atbilstoši noteikumu projektā noteiktajam. Turklāt ietekme uz tirdzniecību ir vienmēr, kad tiek sniegts pakalpojums liberalizētā tirgū. Selektivitātes kritērijs arī izpildās, jo publiskais finansējums tiek piešķirts konkrētiem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anotācijā sniegto skaidrojumu par komercdarbības atbalsta neesamību gala saņēmēju līmenī, skaidrojot, vai ar finansējuma piešķiršanu pasākuma ietvaros attiecīgais uzņēmums, kurā nodarbināta apmācāmā ārstniecības persona, netiks atbrīvota no kārtējiem izdevumiem, kas saistīti ar nodarbinātās ārstniecības personas kārtējās kvalifikācijas celšanu, ko attiecīgajam uzņēmumam būtu jāuzņemas.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novērst pretrunu starp noteikumu projekta 15.punktā paredzēto, ka projekta izmaksas ir attiecināmas, ja tās atbilst šajos noteikumos minētajām izmaksu pozīcijām un </w:t>
            </w:r>
            <w:r w:rsidR="00000000" w:rsidRPr="00000000" w:rsidDel="00000000">
              <w:rPr>
                <w:u w:val="single"/>
                <w:rtl w:val="0"/>
              </w:rPr>
              <w:t xml:space="preserve">tās ir radušās ne agrāk par 2024. gada 1. janvāri,</w:t>
            </w:r>
            <w:r w:rsidR="00000000" w:rsidRPr="00000000" w:rsidDel="00000000">
              <w:rPr>
                <w:rtl w:val="0"/>
              </w:rPr>
              <w:t xml:space="preserve"> un anotācijas 3.sadaļā norādīto, ka 2023.gadā plānots apgūt 87 000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anotācijas 8.1.13. apakšsadaļu, ņemot vērā, ka noteikumu projekts neparedz sadarbības partneru iesaisti.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anotācijas 8.1.13. apakšsadaļu ar informāciju, kā finansējuma saņēmējs plāno pārliecināties par projektā iesaistīto personu atbilstību mērķa grupai, nepieciešamības gadījumā lūdzam papildināt noteikumu projektu ar atbilstošu regulējumu, ievērojot Ministru kabineta 2022. gada 13. decembra sēdes protokollēmumā (prot. Nr. 64 6. § 3. punkts) minēto.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anotācijas 8.1.13. apakšsadaļā norādīt pilno Eiropas Parlamenta un Padomes 2016. gada 27. aprīļa Regulas (ES) 2016/679 par fizisku personu aizsardzību attiecībā uz personas datu apstrādi un šādu datu brīvu apriti un ar ko atceļ Direktīvu 95/46/EK (Vispārīgā datu aizsardzības regula),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Projekta iesniedzējs sagatavo projekta iesniegumu atbilstoši projektu iesniegumu atlases nolikumā noteiktajām prasībām un iesniedz to sadarbības iestādē, izmantojot Kohēzijas politikas fondu vadības informācijas sistēmu, tai skaitā ar parakstu apliecina projekta iesniedzēja interešu konflikta neesību atbilstoši Eiropas Parlamenta un Padomes 2018. gada 18. jūlija regulas Nr. </w:t>
            </w:r>
            <w:r w:rsidR="00000000" w:rsidRPr="00000000" w:rsidDel="00000000">
              <w:rPr>
                <w:rtl w:val="0"/>
              </w:rPr>
              <w:t xml:space="preserve">2018/1046</w:t>
            </w:r>
            <w:r w:rsidR="00000000" w:rsidRPr="00000000" w:rsidDel="00000000">
              <w:rPr>
                <w:rtl w:val="0"/>
              </w:rPr>
              <w:t xml:space="preserve">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publisko iepirkumu veikšanu, lūdzam papildināt noteikumu projekta 17. punktu aiz skaitļa un vārda "61. pantā" ar vārdiem "un publisko iepirkumu jomu regulējošajos normatīvajos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Pasākuma ietvaros ir atbalstāmas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izziņā sniegto informāciju par plašāku vienkāršoto izmaksu nepiemērošanu (specifika, plaša izmaksu amplitūda utt.). Vienlaikus lūdzam anotācijā papildināt, ka projekta īstenošanas laikā Veselības ministrija atkārtoti izvērtēs iespēju piemērot vienkāršoto izmaksu iespējas.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izmaksas, kas saistītas ar pieredzes apmaiņas pasākumiem Latvijā, atbilstoši normatīvajiem aktiem, kas nosaka kārtību, kādā atlīdzināmi ar komandējumiem saistītie izdevumi, kā arī atbilstoši šo noteikumu </w:t>
            </w:r>
            <w:r w:rsidR="00000000" w:rsidRPr="00000000" w:rsidDel="00000000">
              <w:rPr>
                <w:rtl w:val="0"/>
              </w:rPr>
              <w:t xml:space="preserve">36.</w:t>
            </w:r>
            <w:r w:rsidR="00000000" w:rsidRPr="00000000" w:rsidDel="00000000">
              <w:rPr>
                <w:rtl w:val="0"/>
              </w:rPr>
              <w:t xml:space="preserve"> punktā minētajai apmācību kvalitātes novērtēšanas un apmeklējuma uzskaites kārtībai, piemērojot "Vienas vienības izmaksu standarta likmes aprēķina un piemērošanas metodika 1 km izmaksām darbības programmas “Izaugsme un nodarbinātība” un Eiropas Savienības kohēzijas politikas programmas 2021.–2027.gadam īstenošanai", kā arī "Vienas vienības izmaksu standarta likmes aprēķina un piemērošanas metodika iekšzemes komandējumu izmaksām darbības programmas “Izaugsme un nodarbinātība” un Eiropas Savienības kohēzijas politikas programmas 2021.–2027.gadam īstenošanai",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pasākuma ietvaros ir paredzētas izmaksas, kas saistītas ar dalību pieredzes apmaiņas pasākumos un nav iekļautas jau minētajās vienas vienības izmaksu standartlikmes piemērošanas metodikās, un kuras būtu attiecināmas atbilstoši kārtībai, kādā atlīdzināmi ar komandējumiem saistītie izdevumi (MK noteikumi Nr.969). Ja nepieciešams, tad attiecīgi precizēt MK noteikumu 21.3.apakšpunkta redakciju un anotācijā iekļauto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Šo noteikumu </w:t>
            </w:r>
            <w:r w:rsidR="00000000" w:rsidRPr="00000000" w:rsidDel="00000000">
              <w:rPr>
                <w:rtl w:val="0"/>
              </w:rPr>
              <w:t xml:space="preserve">19.3.</w:t>
            </w:r>
            <w:r w:rsidR="00000000" w:rsidRPr="00000000" w:rsidDel="00000000">
              <w:rPr>
                <w:rtl w:val="0"/>
              </w:rPr>
              <w:t xml:space="preserve"> apakšpunktā minētās atbalstāmās darbības finansējums nepārsniedz trīs procentus no šo noteikumu </w:t>
            </w:r>
            <w:r w:rsidR="00000000" w:rsidRPr="00000000" w:rsidDel="00000000">
              <w:rPr>
                <w:rtl w:val="0"/>
              </w:rPr>
              <w:t xml:space="preserve">11.</w:t>
            </w:r>
            <w:r w:rsidR="00000000" w:rsidRPr="00000000" w:rsidDel="00000000">
              <w:rPr>
                <w:rtl w:val="0"/>
              </w:rPr>
              <w:t xml:space="preserve"> punktā noteiktā plānotā kopējā finansējuma un tās ietvaros ir attiecināmas apmācību izmaksas par prasmēm, kas sociālā pakalpojuma sniegšanas ietvaros ļauj identificēt nepieciešamību piesaistīt ārstniecības personālu.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22.punktā noteiktais procentuālais ierobežojums (3%)  būtu jāattiecina uz projektā iekļautajām kopējām attiecināmajām izmaksām, nevis MK noteikumu 11.punktā noteikto pasākumam plānoto kopējo finansējumu. Ņemot vērā izziņas 3.punktā sniegto skaidrojumu "Elastības finansējuma ietvaros tiek plānotas visas izmaksas, ne tikai rezidentu atbalsta pasākuma izmaksas [..]" , vēršam uzmanību, ka pašreizējā MK noteikumu 22.punkta redakcija nepieļauj, ka 2026.gadā, palielinot pasākumam pieejamo finansējumu līdz MK noteikumu 11.punktā plānotajam kopējam finansējumam,  projektā paredzēt papildu izmaksas apmācībām sociālā jomā strādājošiem speciālistiem. Ja nepieciešams, tad atbilstoši precizēt MK noteikumu 22.punkta redakciju un anotācijā iekļauto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Šo noteikumu </w:t>
            </w:r>
            <w:r w:rsidR="00000000" w:rsidRPr="00000000" w:rsidDel="00000000">
              <w:rPr>
                <w:rtl w:val="0"/>
              </w:rPr>
              <w:t xml:space="preserve">19.4.</w:t>
            </w:r>
            <w:r w:rsidR="00000000" w:rsidRPr="00000000" w:rsidDel="00000000">
              <w:rPr>
                <w:rtl w:val="0"/>
              </w:rPr>
              <w:t xml:space="preserve">  apakšpunktā minētās atbalstāmās darbības finansējums noteikts atbilstoši iedzīvotāju un veselības nozares vajadzībām un tas nepārsniedz 5 786 929 </w:t>
            </w:r>
            <w:r w:rsidR="00000000" w:rsidRPr="00000000" w:rsidDel="00000000">
              <w:rPr>
                <w:i w:val="1"/>
                <w:rtl w:val="0"/>
              </w:rPr>
              <w:t xml:space="preserve">euro</w:t>
            </w:r>
            <w:r w:rsidR="00000000" w:rsidRPr="00000000" w:rsidDel="00000000">
              <w:rPr>
                <w:rtl w:val="0"/>
              </w:rPr>
              <w:t xml:space="preserve">, tai skaitā Eiropas Sociālā fonda Plus finansējums 4 918 889,65 </w:t>
            </w:r>
            <w:r w:rsidR="00000000" w:rsidRPr="00000000" w:rsidDel="00000000">
              <w:rPr>
                <w:i w:val="1"/>
                <w:rtl w:val="0"/>
              </w:rPr>
              <w:t xml:space="preserve">euro</w:t>
            </w:r>
            <w:r w:rsidR="00000000" w:rsidRPr="00000000" w:rsidDel="00000000">
              <w:rPr>
                <w:rtl w:val="0"/>
              </w:rPr>
              <w:t xml:space="preserve"> un valsts budžeta finansējums 868 039,35 </w:t>
            </w:r>
            <w:r w:rsidR="00000000" w:rsidRPr="00000000" w:rsidDel="00000000">
              <w:rPr>
                <w:i w:val="1"/>
                <w:rtl w:val="0"/>
              </w:rPr>
              <w:t xml:space="preserve">euro</w:t>
            </w:r>
            <w:r w:rsidR="00000000" w:rsidRPr="00000000" w:rsidDel="00000000">
              <w:rPr>
                <w:rtl w:val="0"/>
              </w:rPr>
              <w:t xml:space="preserve"> un tā ietvaros ir attiecināmas izmaksas par rezidentu atbalsta pasākumiem.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24.punktu, norādot Eiropas Sociālā fonda Plus un valsts budžeta finansējumu veselos skaitļos, vienlaikus vārdus “valsts budžeta finansējums” aizstājot ar vārdiem “valsts budžeta līdzfinansējums”.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Šo noteikumu </w:t>
            </w:r>
            <w:r w:rsidR="00000000" w:rsidRPr="00000000" w:rsidDel="00000000">
              <w:rPr>
                <w:rtl w:val="0"/>
              </w:rPr>
              <w:t xml:space="preserve">19.4.</w:t>
            </w:r>
            <w:r w:rsidR="00000000" w:rsidRPr="00000000" w:rsidDel="00000000">
              <w:rPr>
                <w:rtl w:val="0"/>
              </w:rPr>
              <w:t xml:space="preserve">  apakšpunktā minētās atbalstāmās darbības finansējums noteikts atbilstoši iedzīvotāju un veselības nozares vajadzībām un tas nepārsniedz 5 786 929 </w:t>
            </w:r>
            <w:r w:rsidR="00000000" w:rsidRPr="00000000" w:rsidDel="00000000">
              <w:rPr>
                <w:i w:val="1"/>
                <w:rtl w:val="0"/>
              </w:rPr>
              <w:t xml:space="preserve">euro</w:t>
            </w:r>
            <w:r w:rsidR="00000000" w:rsidRPr="00000000" w:rsidDel="00000000">
              <w:rPr>
                <w:rtl w:val="0"/>
              </w:rPr>
              <w:t xml:space="preserve">, tai skaitā Eiropas Sociālā fonda Plus finansējums 4 918 889,65 </w:t>
            </w:r>
            <w:r w:rsidR="00000000" w:rsidRPr="00000000" w:rsidDel="00000000">
              <w:rPr>
                <w:i w:val="1"/>
                <w:rtl w:val="0"/>
              </w:rPr>
              <w:t xml:space="preserve">euro</w:t>
            </w:r>
            <w:r w:rsidR="00000000" w:rsidRPr="00000000" w:rsidDel="00000000">
              <w:rPr>
                <w:rtl w:val="0"/>
              </w:rPr>
              <w:t xml:space="preserve"> un valsts budžeta finansējums 868 039,35 </w:t>
            </w:r>
            <w:r w:rsidR="00000000" w:rsidRPr="00000000" w:rsidDel="00000000">
              <w:rPr>
                <w:i w:val="1"/>
                <w:rtl w:val="0"/>
              </w:rPr>
              <w:t xml:space="preserve">euro</w:t>
            </w:r>
            <w:r w:rsidR="00000000" w:rsidRPr="00000000" w:rsidDel="00000000">
              <w:rPr>
                <w:rtl w:val="0"/>
              </w:rPr>
              <w:t xml:space="preserve"> un tā ietvaros ir attiecināmas izmaksas par rezidentu atbalsta pasākumiem.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veikto papildinājumu anotācijā, ka "</w:t>
            </w:r>
            <w:r w:rsidR="00000000" w:rsidRPr="00000000" w:rsidDel="00000000">
              <w:rPr>
                <w:i w:val="1"/>
                <w:rtl w:val="0"/>
              </w:rPr>
              <w:t xml:space="preserve">Rezidentiem noteiktās īpaši atbalstāmās specialitātes, atbalstāmās darbības un attiecināmo izmaksu sadalījums tiks noteikts Cilvēkresursu apmācību plānā.</w:t>
            </w:r>
            <w:r w:rsidR="00000000" w:rsidRPr="00000000" w:rsidDel="00000000">
              <w:rPr>
                <w:rtl w:val="0"/>
              </w:rPr>
              <w:t xml:space="preserve">", un to, ka Cilvēkresursu apmācību plāns nav ārējais normatīvais akts, lūdzam papildināt MK noteikumu 24.punktu ar vārdiem ”atbilstoši šo noteikumu 33.punktā minētajā Cilvēkresursu apmācību plānā noteiktajām atbalstāmajām darbībām un attiecināmajām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 sniegt priekšlikumus un saskaņot Cilvēkresursu apmācību plānu, kas nosaka nepieciešamo apmācību nodrošināšanu, piemēram, profesionālā pilnveide, pieredzes apmaiņa, studiju programmas, tālākizglītība;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Ministru kabineta noteikumu tekstā piemērus neiekļauj. Ievērojot minēto, aicinām izvērtēt un, ja attiecināms, precizēt noteikumu projekta 31.1. apakšpunktu, ietverot atsauces uz konkrētiem noteikumu projekta 19. punkta apakšpunktiem, kuros minētas apmācības.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Finansējuma saņēmējs izstrādā kārtību, kurā nosaka, kādā veicama apmācāmo un rezidentu piesaiste un paredzot apmācāmo un rezidentu atlases nosacījumus un pieredzes apmaiņas pasākumu izvērtēšanas kritērijus.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32. punkts paredz rezidentu atlasi, lūdzam papildināt noteikumu projektu arī ar atbalsta piešķiršanas strīdu risināšanas kārtība starp finansējuma saņēmēju un rezidentu.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39.1. datus par projekta ietvaros apmācībām saņēmušajām personām atbilstoši Eiropas Parlamenta un Padomes 2021. gada 24. jūnija Regulu (ES) 2021/1057, ar ko izveido Eiropas Sociālo fondu Plus un atceļ regulu (ES) Nr. 1296/2013 I pielikumam un normatīvajam aktam, kas nosaka Eiropas Savienības fondu projektu pārbaužu veikšanas kārtību 2021.–2027. gada plānošanas periodā;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vai MK noteikumu projekta 39.1. apakšpunkts būtu papildināms ar atbalstu saņēmušajiem rezidentiem.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1.3.sadaļas punktā “Risinājuma apraksts” 6.lpp. ceturtajā rindkopā norādīto Eiropas Sociālā fonda Plus finansējumu 10 7825 224.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1.3.sadaļas punktā “Risinājuma apraksts” 5.lpp. pirmajā rindkopā sniegto informāciju, jo, saskaitot norādīto Eiropas Sociālā fonda Plus finansējumu ar valsts budžeta līdzfinansējumu, veidojas 16 767 822 </w:t>
            </w:r>
            <w:r w:rsidR="00000000" w:rsidRPr="00000000" w:rsidDel="00000000">
              <w:rPr>
                <w:i w:val="1"/>
                <w:rtl w:val="0"/>
              </w:rPr>
              <w:t xml:space="preserve">euro</w:t>
            </w:r>
            <w:r w:rsidR="00000000" w:rsidRPr="00000000" w:rsidDel="00000000">
              <w:rPr>
                <w:rtl w:val="0"/>
              </w:rPr>
              <w:t xml:space="preserve">, nevis kā norādīts 17 400 000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izmaksu un ieguvumu analīzes aprēķinus pievienot pielikumā anotācijai, bet anotācijas sadaļā "Vai ir izvērtēts prasību un izmaksu samērīgums pret ieguvumiem?" norādīt galvenos pieņēmumus, rezultātus un secinājumus.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ES fondu atbalsta pasākumu ietvaros veikto izmaksu un ieguvumu analīžu veiktie aprēķinu rezultāti būtu savstarpēji salīdzināmi un pārbaudāmi, kā arī, lai nodrošinātu aprēķinu atbilstību Eiropas Komisijas vadlīnijās par izmaksu un ieguvumu analīzi noteiktajiem principiem, lūdzam izmaksu un ieguvumu analīzes veikšanai izmantot CFLA sagatavoto izmaksu un ieguvumu analīzes aprēķinu universālo modeli.  Modelis izveidots, lai automatizētu un atvieglotu darbu izmaksu un ieguvumu analīzes veicējam. Nepieciešamības gadījumā CFLA var nodrošināt operatīvas un individuālas izmaksu un ieguvumu analīzes ekspertu konsultācijas sākot no modeļa aizpildīšanas jautājumiem un beidzot ar rezultātu interpretēšanu un secinājumu noformulēšanu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Ritvars Timermanis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3.sadaļas 5.1.apakšpunktu.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teikumu "Plānotie ieguldījumi veicinās Bauhaus mērķu sasniegšanu", ņemot vērā, ka pasākumā nav paredzēti ieguldījumi infrastruktūrā.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23-TA-2102</w:t>
    </w:r>
    <w:r>
      <w:br/>
    </w:r>
    <w:r w:rsidR="00000000" w:rsidRPr="00000000" w:rsidDel="00000000">
      <w:rPr>
        <w:rtl w:val="0"/>
      </w:rPr>
      <w:t xml:space="preserve">Izdrukāts 03.11.2023. 16.11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23-TA-2102</w:t>
    </w:r>
    <w:r>
      <w:br/>
    </w:r>
    <w:r w:rsidR="00000000" w:rsidRPr="00000000" w:rsidDel="00000000">
      <w:rPr>
        <w:rtl w:val="0"/>
      </w:rPr>
      <w:t xml:space="preserve">Izdrukāts 03.11.2023. 16.11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Atzinumi_23-TA-2102.docx</dc:title>
</cp:coreProperties>
</file>

<file path=docProps/custom.xml><?xml version="1.0" encoding="utf-8"?>
<Properties xmlns="http://schemas.openxmlformats.org/officeDocument/2006/custom-properties" xmlns:vt="http://schemas.openxmlformats.org/officeDocument/2006/docPropsVTypes"/>
</file>