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Iestājoties nodokļu normatīvajos aktos minētajiem nosacījumiem, nodokļu maksātājam ir pienākums iesniegt Valsts ieņēmumu dienestam ziņojumu par darījumiem ar kriptoaktīviem. Nosacījumus, kuriem iestājoties ir sniedzama informācija, iesniedzamās informācijas apjomu un kārtību, kādā informācija tiek iegūta, pārbaudīta un iesniegta Valsts ieņēmumu dienestam, pasākumus, kādi veicami automātiskās informācijas apmaiņas nodrošināšanai, kārtību,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nosaka Ministru kabinets. Šā likuma izpratnē termins "kriptoaktīvs" atbilst Eiropas Parlamenta un Padomes 2023. gada 31. maija regulas (ES) 2023/1114 par kriptoaktīvu tirgiem un ar ko groza regulas (ES) Nr. 1093/2010 un (ES) Nr. 1095/2010 un direktīvas 2013/36/ES un (ES) 2019/1937, 3. panta 1. punkta 5. apakšpunktā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ierosinām precizēt šo panta daļu, lai būtu nepārprotami skaidrs, kam ir pienākums ziņot Valsts ieņēmumu dienestam par darījumiem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jebkuram nodokļu maksātājam šā likuma izpratnē (skat. definīciju grozāmā likuma 1.panta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tikai tādam nodokļu maksātājam, kurš ir kriptoaktīvu pakalpojumu sniedzējs (kā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Iestājoties nodokļu normatīvajos aktos minētajiem nosacījumiem, nodokļu maksātājam ir pienākums iesniegt Valsts ieņēmumu dienestam ziņojumu par darījumiem ar kriptoaktīviem. Nosacījumus, kuriem iestājoties ir sniedzama informācija, iesniedzamās informācijas apjomu un kārtību, kādā informācija tiek iegūta, pārbaudīta un iesniegta Valsts ieņēmumu dienestam, pasākumus, kādi veicami automātiskās informācijas apmaiņas nodrošināšanai, kārtību,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nosaka Ministru kabinets. Šā likuma izpratnē termins "kriptoaktīvs" atbilst Eiropas Parlamenta un Padomes 2023. gada 31. maija regulas (ES) 2023/1114 par kriptoaktīvu tirgiem un ar ko groza regulas (ES) Nr. 1093/2010 un (ES) Nr. 1095/2010 un direktīvas 2013/36/ES un (ES) 2019/1937, 3. panta 1. punkta 5. apakšpunktā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termins "kriptoaktīvs" šajā panta daļā skaidrots visa likuma (nevis atsevišķas nodaļas) izpratnē, šā termina skaidrojumu ierosinām pārcelt uz likuma 1.pantu, kurā ir skaidroti šajā likumā lietotie termini.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Iestājoties nodokļu normatīvajos aktos minētajiem nosacījumiem, nodokļu maksātājam ir pienākums iesniegt Valsts ieņēmumu dienestam ziņojumu par darījumiem ar kriptoaktīviem. Nosacījumus, kuriem iestājoties ir sniedzama informācija, iesniedzamās informācijas apjomu un kārtību, kādā informācija tiek iegūta, pārbaudīta un iesniegta Valsts ieņēmumu dienestam, pasākumus, kādi veicami automātiskās informācijas apmaiņas nodrošināšanai, kārtību,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nosaka Ministru kabinets. Šā likuma izpratnē termins "kriptoaktīvs" atbilst Eiropas Parlamenta un Padomes 2023. gada 31. maija regulas (ES) 2023/1114 par kriptoaktīvu tirgiem un ar ko groza regulas (ES) Nr. 1093/2010 un (ES) Nr. 1095/2010 un direktīvas 2013/36/ES un (ES) 2019/1937, 3. panta 1. punkta 5. apakšpunktā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panta daļā Ministru kabinetam būtībā tiek dots pilnvarojums noteikt gan nosacījumus, gan kārtību, kādā nodokļu maksātājam ir pienākums ziņot par darījumiem ar kriptoaktīviem. Tiesiskās skaidrības nodrošināšanai ierosinām jau likumā atrunāt nosacījumus, pie kādiem iestājas paziņošanas pienākums, savukārt šā pienākuma izpildes nodrošināšanai nepieciešamā regulējuma izdošanu deleģēt Ministru kabinetam. Kā vairākkārt atzīts Satversmes tiesas spriedumos, lai gan visus jautājumus likumā detalizēti un pilnībā noregulēt nav mērķtiecīgi, likumdevējam šie jautājumi tomēr ir jāapsver (piemēram, skat. Satversmes tiesas 2011.gada 11.janvāra sprieduma lietā Nr.2010-40-03 11.punktu). Likumdevējs, pilnvarojot izpildvaru izstrādāt regulējumu kādā jautājumā, nedrīkst radīt risku, ka līdzsvars starp likumdevējvaru un izpildvaru varētu nosvērties uz izpildvaras pusi tiktāl, ka tiktu apdraudēts varas dalīšanas princips un līdz ar to arī demokrātiskas valsts iekārtas būtība (skat. Satversmes tiesas 2011.gada 11.janvāra sprieduma lietā Nr.2010-40-03 10.2.punktu).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32.</w:t>
            </w:r>
            <w:r w:rsidR="00000000" w:rsidRPr="00000000" w:rsidDel="00000000">
              <w:rPr>
                <w:vertAlign w:val="superscript"/>
                <w:rtl w:val="0"/>
              </w:rPr>
              <w:t xml:space="preserve">5</w:t>
            </w:r>
            <w:r w:rsidR="00000000" w:rsidRPr="00000000" w:rsidDel="00000000">
              <w:rPr>
                <w:rtl w:val="0"/>
              </w:rPr>
              <w:t xml:space="preserve">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Nodokļu administrācijai ir tiesības piemērot nodokļu maksātājam soda naudu līdz 14 000 </w:t>
            </w:r>
            <w:r w:rsidR="00000000" w:rsidRPr="00000000" w:rsidDel="00000000">
              <w:rPr>
                <w:i w:val="1"/>
                <w:rtl w:val="0"/>
              </w:rPr>
              <w:t xml:space="preserve">euro</w:t>
            </w:r>
            <w:r w:rsidR="00000000" w:rsidRPr="00000000" w:rsidDel="00000000">
              <w:rPr>
                <w:rtl w:val="0"/>
              </w:rPr>
              <w:t xml:space="preserve">, ja nodokļu maksātājs nav ievērojis ziņojuma sniegšanas termiņu, kas noteikts normatīvajos aktos, kuri regulē automātisko informācijas apmaiņu attiecībā uz ziņojošā kriptoaktīvu pakalpojuma sniedzēja rīcībā esošu informāciju par darījumiem ar kriptoaktīviem, vai, ja tas nav ievērojis attiecīgās pienācīgas pārbaudes procedūras vai citus noteikumus par automātisko informācijas apmaiņu attiecībā uz tā rīcībā esošo informāciju par darījumiem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pēc būtības paredz soda naudas piemērošanu </w:t>
            </w:r>
            <w:r w:rsidR="00000000" w:rsidRPr="00000000" w:rsidDel="00000000">
              <w:rPr>
                <w:u w:val="single"/>
                <w:rtl w:val="0"/>
              </w:rPr>
              <w:t xml:space="preserve">nodokļu maksātājam</w:t>
            </w:r>
            <w:r w:rsidR="00000000" w:rsidRPr="00000000" w:rsidDel="00000000">
              <w:rPr>
                <w:rtl w:val="0"/>
              </w:rPr>
              <w:t xml:space="preserve">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ziņojuma sniegšanas termiņa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pienācīgas pārbaudes procedūras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w:t>
            </w:r>
            <w:r w:rsidR="00000000" w:rsidRPr="00000000" w:rsidDel="00000000">
              <w:rPr>
                <w:u w:val="single"/>
                <w:rtl w:val="0"/>
              </w:rPr>
              <w:t xml:space="preserve">citu noteikumu </w:t>
            </w:r>
            <w:r w:rsidR="00000000" w:rsidRPr="00000000" w:rsidDel="00000000">
              <w:rPr>
                <w:rtl w:val="0"/>
              </w:rPr>
              <w:t xml:space="preserve">neievērošanu par automātisko informācijas apmaiņu attiecībā uz tā [proti, nodokļu maksātāja] rīcībā esošo informāciju par darījumiem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ierosinām precizēt šo normu, jo tā rada dažādas interpretācijas iespējas,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soda naudu var piemērot jebkuram "nodokļu maksātājam" šā likuma izpratnē (skat. kopsakarā ar termina "nodokļu maksātāji" skaidrojumu grozāmā likuma 1.panta 4.punktā), vai tikai kriptoaktīvu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 "citiem noteikumiem" attiecībā uz automātisko informācijas apmaiņu ir domāti tie paši Ministru kabineta noteikumi, kuri tiks izdoti, pamatojoties uz likumprojekta 1.pantā (grozāmā likuma 15.panta divpadsmitajā daļā) paredzēto pilnvarojumu, vai arī kādi "citi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66. pantu ar vārdiem "vai tur elektronisko naudu vai centrālās bankas digitālās valūtas klientu 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vienai centrālajai bankai diez vai būs vairākas digitālās valūtas, ierosinām lietot attiecīgos vārdus vienskaitlī (proti, "centrālās bankas digitāl</w:t>
            </w:r>
            <w:r w:rsidR="00000000" w:rsidRPr="00000000" w:rsidDel="00000000">
              <w:rPr>
                <w:b w:val="1"/>
                <w:rtl w:val="0"/>
              </w:rPr>
              <w:t xml:space="preserve">o </w:t>
            </w:r>
            <w:r w:rsidR="00000000" w:rsidRPr="00000000" w:rsidDel="00000000">
              <w:rPr>
                <w:rtl w:val="0"/>
              </w:rPr>
              <w:t xml:space="preserve">valūt</w:t>
            </w:r>
            <w:r w:rsidR="00000000" w:rsidRPr="00000000" w:rsidDel="00000000">
              <w:rPr>
                <w:b w:val="1"/>
                <w:rtl w:val="0"/>
              </w:rPr>
              <w:t xml:space="preserve">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67. pantu pēc vārda "vērtspapīros" ar vārdiem "kriptoaktīvos, par kuriem jāziņo".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šāda grozījuma sanāks, ka "finanšu aktīvs" cita starpā ir arī "</w:t>
            </w:r>
            <w:r w:rsidR="00000000" w:rsidRPr="00000000" w:rsidDel="00000000">
              <w:rPr>
                <w:u w:val="single"/>
                <w:rtl w:val="0"/>
              </w:rPr>
              <w:t xml:space="preserve">līdzdalība kriptoaktīvos</w:t>
            </w:r>
            <w:r w:rsidR="00000000" w:rsidRPr="00000000" w:rsidDel="00000000">
              <w:rPr>
                <w:rtl w:val="0"/>
              </w:rPr>
              <w:t xml:space="preserve">, par kuriem jāziņo". Ierosinām šo grozījumu precizēt atbilstoši termina "finanšu aktīvs" skaidrojumam OECD izdotajā Starptautiskajā standartā automātiskai informācijas apmaiņai nodokļu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normas labākai uztveramībai ierosinām sadalīt grozāmā likuma 67.pantā ietverto uzskaitījumu punktos, jo šobrīd ir samērā grūti uztvert, kas ietilpst terminā "finanšu aktīvs" šā likuma (nodaļas)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Naudas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nodaļas izpratnē naudas līdzekļi (turpmāk – nauda) ir banknotes un monētas, bezskaidra nauda un elektroniskā nauda. Šis termins ietver arī centrālās bankas digitālās valūtas.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2.teikumā aizstāt vārdus "centrālās bankas digitālās valūtas" ar vārdiem "centrālās bankas digitāl</w:t>
            </w:r>
            <w:r w:rsidR="00000000" w:rsidRPr="00000000" w:rsidDel="00000000">
              <w:rPr>
                <w:b w:val="1"/>
                <w:rtl w:val="0"/>
              </w:rPr>
              <w:t xml:space="preserve">o</w:t>
            </w:r>
            <w:r w:rsidR="00000000" w:rsidRPr="00000000" w:rsidDel="00000000">
              <w:rPr>
                <w:rtl w:val="0"/>
              </w:rPr>
              <w:t xml:space="preserve"> valūt</w:t>
            </w:r>
            <w:r w:rsidR="00000000" w:rsidRPr="00000000" w:rsidDel="00000000">
              <w:rPr>
                <w:b w:val="1"/>
                <w:rtl w:val="0"/>
              </w:rPr>
              <w:t xml:space="preserve">u</w:t>
            </w:r>
            <w:r w:rsidR="00000000" w:rsidRPr="00000000" w:rsidDel="00000000">
              <w:rPr>
                <w:rtl w:val="0"/>
              </w:rPr>
              <w:t xml:space="preserve">", jo vienai centrālajai bankai diez vai būs vairākas digitālās valūtas.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saņemot līdzekļus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kā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67.</w:t>
            </w:r>
            <w:r w:rsidR="00000000" w:rsidRPr="00000000" w:rsidDel="00000000">
              <w:rPr>
                <w:vertAlign w:val="superscript"/>
                <w:rtl w:val="0"/>
              </w:rPr>
              <w:t xml:space="preserve">2</w:t>
            </w:r>
            <w:r w:rsidR="00000000" w:rsidRPr="00000000" w:rsidDel="00000000">
              <w:rPr>
                <w:rtl w:val="0"/>
              </w:rPr>
              <w:t xml:space="preserve">panta pirmās daļas 5.punkts pēc savas būtības nav elektroniskās naudas definīcijas sastāvdaļa, bet gan prasība elektroniskās naudas emitentam (salīdzinājumam skat. Maksājumu pakalpojumu un elektroniskās naudas likuma 62.</w:t>
            </w:r>
            <w:r w:rsidR="00000000" w:rsidRPr="00000000" w:rsidDel="00000000">
              <w:rPr>
                <w:vertAlign w:val="superscript"/>
                <w:rtl w:val="0"/>
              </w:rPr>
              <w:t xml:space="preserve">1</w:t>
            </w:r>
            <w:r w:rsidR="00000000" w:rsidRPr="00000000" w:rsidDel="00000000">
              <w:rPr>
                <w:rtl w:val="0"/>
              </w:rPr>
              <w:t xml:space="preserve">panta pirmo daļu un Eiropas Parlamenta un Padomes 2009.gada 16.septembra direktīvas 2009/110/EK par elektroniskās naudas iestāžu darbības sākšanu, veikšanu un konsultatīvu uzraudzību, par grozījumiem direktīvā 2005/60/EK un direktīvā 2006/48/EK un par direktīvas 2000/46/EK atcelšanu 11.pantu). Iekļaujot šo prasību elektroniskās naudas definīcijā, var rasties neloģiskas situācijas. Piemēram, kāds emitē elektronisko naudu, bet nenodrošina tās dzēšanu 67.</w:t>
            </w:r>
            <w:r w:rsidR="00000000" w:rsidRPr="00000000" w:rsidDel="00000000">
              <w:rPr>
                <w:vertAlign w:val="superscript"/>
                <w:rtl w:val="0"/>
              </w:rPr>
              <w:t xml:space="preserve">2</w:t>
            </w:r>
            <w:r w:rsidR="00000000" w:rsidRPr="00000000" w:rsidDel="00000000">
              <w:rPr>
                <w:rtl w:val="0"/>
              </w:rPr>
              <w:t xml:space="preserve">panta pirmās daļas 5.punktā paredzētajā kārtībā, kas noved pie situācijas, ka attiecīgā monetārā vērtība netiek uzskatīta par elektronisko naudu šā likuma (nodaļas) izpratnē, jo neizpildās visi definīcijā ietvertie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67.</w:t>
            </w:r>
            <w:r w:rsidR="00000000" w:rsidRPr="00000000" w:rsidDel="00000000">
              <w:rPr>
                <w:vertAlign w:val="superscript"/>
                <w:rtl w:val="0"/>
              </w:rPr>
              <w:t xml:space="preserve">2</w:t>
            </w:r>
            <w:r w:rsidR="00000000" w:rsidRPr="00000000" w:rsidDel="00000000">
              <w:rPr>
                <w:rtl w:val="0"/>
              </w:rPr>
              <w:t xml:space="preserve">panta otrās daļas praktiskā izpilde ir neskaidra. Proti, nav saprotams, kas un kādā veidā varēs nodalīt otrās daļas otrajā teikumā minētos līdzekļus no "elektroniskās naudas" šā likuma (nodaļas) izpratnē, lai precīzi izpildītu šā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grozāmajā likumā tomēr pieturēties pie elektroniskās naudas definīcijas, kura jau ir dota Maksājumu pakalpojumu un elektroniskās naudas likumā un neveidot vēl vienu, turklāt atšķirīgu un neloģisku definīciju. Jaunas definīcijas vietā grozāmajā likumā ierosinām norādīt nosacījumus, iestājoties kuriem, rodas pienākums ziņot Valsts ieņēmumu dienestam (skat. kopsakarā ar Latvijas Bankas priekšlikumu pie likumprojekta 1.panta (grozāmā likuma 15.panta divpadsmitās daļas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saņemot līdzekļus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kā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elektroniskās naudas definīcija šajā likumprojektā tomēr tiek saglabāta, ierosinām precizēt 67.</w:t>
            </w:r>
            <w:r w:rsidR="00000000" w:rsidRPr="00000000" w:rsidDel="00000000">
              <w:rPr>
                <w:vertAlign w:val="superscript"/>
                <w:rtl w:val="0"/>
              </w:rPr>
              <w:t xml:space="preserve">2</w:t>
            </w:r>
            <w:r w:rsidR="00000000" w:rsidRPr="00000000" w:rsidDel="00000000">
              <w:rPr>
                <w:rtl w:val="0"/>
              </w:rPr>
              <w:t xml:space="preserve">panta pirmās daļas 4.punkta redakciju, saskaņojot terminoloģiju ar 2.punktā lietoto.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fiziska vai juridiska persona, kas nav emitents, to pieņem </w:t>
            </w:r>
            <w:r w:rsidR="00000000" w:rsidRPr="00000000" w:rsidDel="00000000">
              <w:rPr>
                <w:u w:val="single"/>
                <w:rtl w:val="0"/>
              </w:rPr>
              <w:t xml:space="preserve">maksājumu darījumu veikšanai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saņemot līdzekļus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kā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67.</w:t>
            </w:r>
            <w:r w:rsidR="00000000" w:rsidRPr="00000000" w:rsidDel="00000000">
              <w:rPr>
                <w:vertAlign w:val="superscript"/>
                <w:rtl w:val="0"/>
              </w:rPr>
              <w:t xml:space="preserve">2</w:t>
            </w:r>
            <w:r w:rsidR="00000000" w:rsidRPr="00000000" w:rsidDel="00000000">
              <w:rPr>
                <w:rtl w:val="0"/>
              </w:rPr>
              <w:t xml:space="preserve">panta pirmās daļas 2.punkta redakcijas nav saprotams, kas šajā normā ir domāts ar "līdzekļiem". Proti, vai tie ir "naudas līdzekļi" (nauda) atbilstoši 67.</w:t>
            </w:r>
            <w:r w:rsidR="00000000" w:rsidRPr="00000000" w:rsidDel="00000000">
              <w:rPr>
                <w:vertAlign w:val="superscript"/>
                <w:rtl w:val="0"/>
              </w:rPr>
              <w:t xml:space="preserve">1</w:t>
            </w:r>
            <w:r w:rsidR="00000000" w:rsidRPr="00000000" w:rsidDel="00000000">
              <w:rPr>
                <w:rtl w:val="0"/>
              </w:rPr>
              <w:t xml:space="preserve">pantā paredzētajam skaidrojumam, vai kādi citi līdzekļi. Ja elektroniskās naudas definīcija šajā likumprojektā tomēr tiek saglabāta, tiesiskai skaidrībai ierosinām šo normu precizēt, lai tā ir viennozīmīgi interpretējama.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maksājumu darījumu veikšanai, pretī saņemot naudu;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4</w:t>
            </w:r>
            <w:r w:rsidR="00000000" w:rsidRPr="00000000" w:rsidDel="00000000">
              <w:rPr>
                <w:rtl w:val="0"/>
              </w:rPr>
              <w:t xml:space="preserve"> </w:t>
            </w:r>
            <w:r w:rsidR="00000000" w:rsidRPr="00000000" w:rsidDel="00000000">
              <w:rPr>
                <w:b w:val="1"/>
                <w:rtl w:val="0"/>
              </w:rPr>
              <w:t xml:space="preserve">pants. Kriptoaktīvs, par kuru jāziņo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Šīs nodaļas izpratnē kriptoaktīvs, par kuru jāziņo, ir jebkurš kriptoaktīvs, izņemot tādu, attiecībā uz kuru nodokļu maksātājs, kuram saskaņā ar normatīvajā aktā noteikto ir pienākums iesniegt Valsts ieņēmumu dienestam ziņojumu par darījumiem ar kriptoaktīviem, ir pienācīgi secinājis, ka to nevar izmantot maksājumu vai ieguldījumu mērķiem. Kriptoaktīvs, par kuru jāziņo, neietver elektronisko naudu un centrālās bankas digitālo valūtu."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rakstīt, ka "kriptoaktīvs [..] neietver elektronisko naudu", jo "elektroniska nauda" šā termina vispārzināmā nozīmē nav "kriptoaktīvs". "Kriptoaktīvs" ir elektroniskās naudas </w:t>
            </w:r>
            <w:r w:rsidR="00000000" w:rsidRPr="00000000" w:rsidDel="00000000">
              <w:rPr>
                <w:u w:val="single"/>
                <w:rtl w:val="0"/>
              </w:rPr>
              <w:t xml:space="preserve">žetons</w:t>
            </w:r>
            <w:r w:rsidR="00000000" w:rsidRPr="00000000" w:rsidDel="00000000">
              <w:rPr>
                <w:rtl w:val="0"/>
              </w:rPr>
              <w:t xml:space="preserve">, kas ir pielīdzināms elektroniskajai naudai (skat. Eiropas Parlamenta un Padomes 2023.gada 31.maija regulas (ES) 2023/1114 par kriptoaktīvu tirgiem un ar ko groza regulas (ES) Nr.1093/2010 un (ES) Nr.1095/2010 un direktīvas 2013/36/ES un (ES) 2019/1937 3.panta 7.punktu un 48.panta 2.punktu). Neprecīzas terminoloģijas lietošana var radīt neskaidrības likuma piemērošanā un atšķirīgas interpretācijas iespējas. Tādēļ ierosinām šo normu redakcionāli precizēt, lai tā nenonāk pretrunā ar citiem normatīvajiem aktiem (tai skaitā Eiropas Savienības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68.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68.</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Maiņas darījumi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nodaļas izpratnē maiņas darījumi ir darījumi, kas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kriptoaktīva, par kuru jāziņo, maiņa pret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jebkura viena vai vairāku kriptoaktīvu, par kuriem jāziņo, veidu apmaiņa.”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2.punktu, lai tā jēga būtu vieglāk uztverama.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kriptoaktīva, par kuru jāziņo, apmaiņa pret citu kriptoaktīvu.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24-TA-3148</w:t>
    </w:r>
    <w:r>
      <w:br/>
    </w:r>
    <w:r w:rsidR="00000000" w:rsidRPr="00000000" w:rsidDel="00000000">
      <w:rPr>
        <w:rtl w:val="0"/>
      </w:rPr>
      <w:t xml:space="preserve">Izdrukāts 27.03.2025.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24-TA-3148</w:t>
    </w:r>
    <w:r>
      <w:br/>
    </w:r>
    <w:r w:rsidR="00000000" w:rsidRPr="00000000" w:rsidDel="00000000">
      <w:rPr>
        <w:rtl w:val="0"/>
      </w:rPr>
      <w:t xml:space="preserve">Izdrukāts 27.03.2025.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Atzinumi_24-TA-3148.docx</dc:title>
</cp:coreProperties>
</file>

<file path=docProps/custom.xml><?xml version="1.0" encoding="utf-8"?>
<Properties xmlns="http://schemas.openxmlformats.org/officeDocument/2006/custom-properties" xmlns:vt="http://schemas.openxmlformats.org/officeDocument/2006/docPropsVTypes"/>
</file>