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Aizsardzības ministrijas izstrādāto Valsts aizsardzības un drošības fonda likumu (turpmāk – Likumprojekts)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4. pantu un paredzēt, ka Valsts aizsardzības un drošības fonda līdzekļus var izmantot arī sabiedrības noturības veicināšanai, tostarp arī brīvprātīgā darba attīstīšanai.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aktīva, stipra un zinoša sabiedrība nav tikai viens no demokrātiskas valsts stūrakmeņiem, bet ir arī nacionālās drošības jautājums. Sabiedrības noturībspēja ir daļa no visaptverošas valsts aizsardzības sistēmas, kas paredz valsts institūciju savstarpējo sadarbību, publisko un privāto partnerību, veicina sabiedrības izpratni par iespējām aizsargāt sevi, savu ģimeni un valsti, kā arī īsteno sabiedrības pašorganizēšanas instrumentus krīzes gadījumos un sabiedrības izglītošanu un sagatavošanu potenciālajām krīzēm. Tādēļ Likumprojektā nepieciešams iestrādāt atbalsta mehānismu arī nevalstiskajām organizācijām, kurām ir būtiska loma sabiedrības noturības veicināšanā, mobilizēšanā un koordinēšanā. Turklāt nevalstiskās organizācijas bieži ir pirmās, kas reaģē uz krīzēm, mobilizējot kopienas un brīvprātīgos, sniedzot atbalstu un papildinot valsts institūciju darbu, veidojot saliedētu, aktīvu un krīzēm gatavu sabiedrību, kas kalpo kā būtisks demokrātijas un drošības balsts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papildināt Likumprojekta 4.pantu un izteikt to šādā redakcijā: </w:t>
            </w:r>
            <w:r w:rsidR="00000000" w:rsidRPr="00000000" w:rsidDel="00000000">
              <w:rPr>
                <w:b w:val="1"/>
                <w:rtl w:val="0"/>
              </w:rPr>
              <w:t xml:space="preserve">“5) sabiedrības noturības veicināšanai, tostarp brīvprātīgā darba attīstīšanai”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papildināt Likumprojekta 4.pantu un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sabiedrības noturības veicināšanai, tostarp brīvprātīgā darba attīstīšanai”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08.08.2025.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