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BF466" w14:textId="77777777" w:rsidR="00CD2876" w:rsidRDefault="00CD2876" w:rsidP="00CD2876">
      <w:pPr>
        <w:rPr>
          <w:rFonts w:asciiTheme="minorHAnsi" w:hAnsiTheme="minorHAnsi" w:cstheme="minorBidi"/>
        </w:rPr>
      </w:pPr>
    </w:p>
    <w:p w14:paraId="678BBD00" w14:textId="77777777" w:rsidR="00CD2876" w:rsidRDefault="00CD2876" w:rsidP="00CD2876">
      <w:pPr>
        <w:rPr>
          <w:rFonts w:asciiTheme="minorHAnsi" w:hAnsiTheme="minorHAnsi" w:cstheme="minorBidi"/>
        </w:rPr>
      </w:pPr>
    </w:p>
    <w:p w14:paraId="76DEA1EE" w14:textId="77777777" w:rsidR="00CD2876" w:rsidRDefault="00CD2876" w:rsidP="00CD2876">
      <w:pPr>
        <w:rPr>
          <w:rFonts w:eastAsia="Times New Roman"/>
          <w:lang w:val="en-US" w:eastAsia="lv-LV"/>
        </w:rPr>
      </w:pPr>
      <w:r>
        <w:rPr>
          <w:rFonts w:eastAsia="Times New Roman"/>
          <w:b/>
          <w:bCs/>
          <w:lang w:val="en-US" w:eastAsia="lv-LV"/>
        </w:rPr>
        <w:t>From:</w:t>
      </w:r>
      <w:r>
        <w:rPr>
          <w:rFonts w:eastAsia="Times New Roman"/>
          <w:lang w:val="en-US" w:eastAsia="lv-LV"/>
        </w:rPr>
        <w:t xml:space="preserve"> SPRK &lt;sprk@sprk.gov.lv&gt;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May 18, 2021 3:20 PM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TAP VSS-949; </w:t>
      </w:r>
      <w:proofErr w:type="spellStart"/>
      <w:r>
        <w:rPr>
          <w:rFonts w:eastAsia="Times New Roman"/>
          <w:lang w:val="en-US" w:eastAsia="lv-LV"/>
        </w:rPr>
        <w:t>precizetais</w:t>
      </w:r>
      <w:proofErr w:type="spellEnd"/>
      <w:r>
        <w:rPr>
          <w:rFonts w:eastAsia="Times New Roman"/>
          <w:lang w:val="en-US" w:eastAsia="lv-LV"/>
        </w:rPr>
        <w:t xml:space="preserve"> </w:t>
      </w:r>
      <w:proofErr w:type="spellStart"/>
      <w:r>
        <w:rPr>
          <w:rFonts w:eastAsia="Times New Roman"/>
          <w:lang w:val="en-US" w:eastAsia="lv-LV"/>
        </w:rPr>
        <w:t>saskanosanas</w:t>
      </w:r>
      <w:proofErr w:type="spellEnd"/>
      <w:r>
        <w:rPr>
          <w:rFonts w:eastAsia="Times New Roman"/>
          <w:lang w:val="en-US" w:eastAsia="lv-LV"/>
        </w:rPr>
        <w:t xml:space="preserve"> (</w:t>
      </w:r>
      <w:proofErr w:type="spellStart"/>
      <w:r>
        <w:rPr>
          <w:rFonts w:eastAsia="Times New Roman"/>
          <w:lang w:val="en-US" w:eastAsia="lv-LV"/>
        </w:rPr>
        <w:t>atkārtoti</w:t>
      </w:r>
      <w:proofErr w:type="spellEnd"/>
      <w:r>
        <w:rPr>
          <w:rFonts w:eastAsia="Times New Roman"/>
          <w:lang w:val="en-US" w:eastAsia="lv-LV"/>
        </w:rPr>
        <w:t>)</w:t>
      </w:r>
    </w:p>
    <w:p w14:paraId="55F72E1B" w14:textId="77777777" w:rsidR="00CD2876" w:rsidRDefault="00CD2876" w:rsidP="00CD2876"/>
    <w:p w14:paraId="06B0AB63" w14:textId="77777777" w:rsidR="00CD2876" w:rsidRDefault="00CD2876" w:rsidP="00CD2876">
      <w:pPr>
        <w:shd w:val="clear" w:color="auto" w:fill="FFEB9C"/>
        <w:spacing w:line="240" w:lineRule="atLeast"/>
        <w:rPr>
          <w:rFonts w:eastAsia="Times New Roman"/>
          <w:color w:val="000000"/>
          <w:sz w:val="20"/>
          <w:szCs w:val="20"/>
          <w:lang w:eastAsia="lv-LV"/>
        </w:rPr>
      </w:pPr>
      <w:r>
        <w:rPr>
          <w:rFonts w:eastAsia="Times New Roman"/>
          <w:b/>
          <w:bCs/>
          <w:color w:val="9C6500"/>
          <w:sz w:val="20"/>
          <w:szCs w:val="20"/>
          <w:lang w:eastAsia="lv-LV"/>
        </w:rPr>
        <w:t>INFORMĀCIJA:</w:t>
      </w:r>
      <w:r>
        <w:rPr>
          <w:rFonts w:eastAsia="Times New Roman"/>
          <w:b/>
          <w:bCs/>
          <w:color w:val="000000"/>
          <w:sz w:val="20"/>
          <w:szCs w:val="20"/>
          <w:lang w:eastAsia="lv-LV"/>
        </w:rPr>
        <w:t xml:space="preserve"> Šis e-pasts ir nosūtīts no adreses, kura nepieder Jūsu organizācijai.</w:t>
      </w:r>
    </w:p>
    <w:p w14:paraId="42ABA5D1" w14:textId="77777777" w:rsidR="00CD2876" w:rsidRDefault="00CD2876" w:rsidP="00CD2876">
      <w:pPr>
        <w:rPr>
          <w:rFonts w:eastAsia="Times New Roman"/>
          <w:lang w:eastAsia="lv-LV"/>
        </w:rPr>
      </w:pPr>
    </w:p>
    <w:p w14:paraId="4E052D40" w14:textId="77777777" w:rsidR="00CD2876" w:rsidRDefault="00CD2876" w:rsidP="00CD2876">
      <w:pPr>
        <w:ind w:firstLine="709"/>
        <w:jc w:val="both"/>
        <w:rPr>
          <w:rFonts w:ascii="Tahoma" w:hAnsi="Tahoma" w:cs="Tahoma"/>
        </w:rPr>
      </w:pPr>
      <w:r>
        <w:rPr>
          <w:rFonts w:ascii="Tahoma" w:hAnsi="Tahoma" w:cs="Tahoma"/>
        </w:rPr>
        <w:t>18.05.2021 Nr.2-2.51/1455</w:t>
      </w:r>
    </w:p>
    <w:p w14:paraId="37A5C06D" w14:textId="77777777" w:rsidR="00CD2876" w:rsidRDefault="00CD2876" w:rsidP="00CD2876">
      <w:pPr>
        <w:ind w:firstLine="709"/>
        <w:jc w:val="both"/>
        <w:rPr>
          <w:rFonts w:ascii="Tahoma" w:hAnsi="Tahoma" w:cs="Tahoma"/>
        </w:rPr>
      </w:pPr>
      <w:r>
        <w:rPr>
          <w:rFonts w:ascii="Tahoma" w:hAnsi="Tahoma" w:cs="Tahoma"/>
        </w:rPr>
        <w:t>Uz 13.05.2021. Nr.1-14/4603</w:t>
      </w:r>
    </w:p>
    <w:p w14:paraId="6CD3D6B5" w14:textId="77777777" w:rsidR="00CD2876" w:rsidRDefault="00CD2876" w:rsidP="00CD2876">
      <w:pPr>
        <w:ind w:firstLine="720"/>
        <w:jc w:val="both"/>
        <w:rPr>
          <w:rFonts w:ascii="Tahoma" w:hAnsi="Tahoma" w:cs="Tahoma"/>
        </w:rPr>
      </w:pPr>
    </w:p>
    <w:p w14:paraId="15E0D80A" w14:textId="77777777" w:rsidR="00CD2876" w:rsidRDefault="00CD2876" w:rsidP="00CD2876">
      <w:pPr>
        <w:ind w:firstLine="720"/>
        <w:jc w:val="both"/>
        <w:rPr>
          <w:rFonts w:ascii="Tahoma" w:hAnsi="Tahoma" w:cs="Tahoma"/>
          <w:sz w:val="24"/>
          <w:szCs w:val="24"/>
          <w:lang w:eastAsia="lv-LV"/>
        </w:rPr>
      </w:pPr>
      <w:r>
        <w:rPr>
          <w:rFonts w:ascii="Tahoma" w:hAnsi="Tahoma" w:cs="Tahoma"/>
        </w:rPr>
        <w:t>Labdien!</w:t>
      </w:r>
    </w:p>
    <w:p w14:paraId="6DCCBBE4" w14:textId="77777777" w:rsidR="00CD2876" w:rsidRDefault="00CD2876" w:rsidP="00CD2876">
      <w:pPr>
        <w:jc w:val="both"/>
        <w:rPr>
          <w:rFonts w:ascii="Tahoma" w:hAnsi="Tahoma" w:cs="Tahoma"/>
        </w:rPr>
      </w:pPr>
    </w:p>
    <w:p w14:paraId="625105DF" w14:textId="77777777" w:rsidR="00CD2876" w:rsidRDefault="00CD2876" w:rsidP="00CD2876">
      <w:pPr>
        <w:ind w:firstLine="709"/>
        <w:jc w:val="both"/>
        <w:rPr>
          <w:rFonts w:ascii="Tahoma" w:hAnsi="Tahoma" w:cs="Tahoma"/>
        </w:rPr>
      </w:pPr>
      <w:r>
        <w:rPr>
          <w:rFonts w:ascii="Tahoma" w:hAnsi="Tahoma" w:cs="Tahoma"/>
        </w:rPr>
        <w:t xml:space="preserve">Sabiedrisko pakalpojumu regulēšanas komisija savas kompetences ietvaros izskatīja 2021.gada 13.maijā atkārtotai saskaņošanai atsūtīto precizēto Ministru kabineta noteikumu </w:t>
      </w:r>
      <w:bookmarkStart w:id="0" w:name="_Hlk57015006"/>
      <w:r>
        <w:rPr>
          <w:rFonts w:ascii="Tahoma" w:hAnsi="Tahoma" w:cs="Tahoma"/>
        </w:rPr>
        <w:t>“Grozījumi Ministru kabineta 2011.gada 27.decembra noteikumos Nr.1032 “Atkritumu poligonu ierīkošanas, atkritumu poligonu un izgāztuvju apsaimniekošanas, slēgšanas un rekultivācijas noteikumi”</w:t>
      </w:r>
      <w:bookmarkEnd w:id="0"/>
      <w:r>
        <w:rPr>
          <w:rFonts w:ascii="Tahoma" w:hAnsi="Tahoma" w:cs="Tahoma"/>
        </w:rPr>
        <w:t xml:space="preserve">” projektu (VSS-949) (turpmāk – Projekts), tā sākotnējās ietekmes novērtējuma ziņojumu (turpmāk – Anotācija), izziņu par atzinumos sniegtajiem iebildumiem un atbalsta Projekta un Anotācijas turpmāko virzību normatīvajos aktos noteiktajā kārtībā, tajā pat laikā </w:t>
      </w:r>
      <w:r>
        <w:rPr>
          <w:rFonts w:ascii="Tahoma" w:hAnsi="Tahoma" w:cs="Tahoma"/>
          <w:u w:val="single"/>
        </w:rPr>
        <w:t>atkārtoti vēršot uzmanību uz 2021.gada 9.aprīļa atzinuma pirmajā priekšlikumā norādīto</w:t>
      </w:r>
      <w:r>
        <w:rPr>
          <w:rFonts w:ascii="Tahoma" w:hAnsi="Tahoma" w:cs="Tahoma"/>
        </w:rPr>
        <w:t xml:space="preserve">, ka Projektā sniegta pretrunīga informācija attiecībā uz atkritumu biogāzes definīciju. </w:t>
      </w:r>
    </w:p>
    <w:p w14:paraId="595B3984" w14:textId="77777777" w:rsidR="00CD2876" w:rsidRDefault="00CD2876" w:rsidP="00CD2876">
      <w:pPr>
        <w:ind w:firstLine="709"/>
        <w:jc w:val="both"/>
        <w:rPr>
          <w:rFonts w:ascii="Tahoma" w:hAnsi="Tahoma" w:cs="Tahoma"/>
        </w:rPr>
      </w:pPr>
      <w:r>
        <w:rPr>
          <w:rFonts w:ascii="Tahoma" w:hAnsi="Tahoma" w:cs="Tahoma"/>
        </w:rPr>
        <w:t xml:space="preserve">Proti, Projekta 4.punkts paredz precizēt noteikumu 2.5.apakšpunktu šādā redakcijā: </w:t>
      </w:r>
      <w:r>
        <w:rPr>
          <w:rFonts w:ascii="Tahoma" w:hAnsi="Tahoma" w:cs="Tahoma"/>
          <w:i/>
          <w:iCs/>
        </w:rPr>
        <w:t xml:space="preserve">“2.5. poligonu gāzes – visas gāzes, </w:t>
      </w:r>
      <w:r>
        <w:rPr>
          <w:rFonts w:ascii="Tahoma" w:hAnsi="Tahoma" w:cs="Tahoma"/>
          <w:b/>
          <w:bCs/>
          <w:i/>
          <w:iCs/>
        </w:rPr>
        <w:t>kas veidojas no poligonā apglabātajiem atkritumiem</w:t>
      </w:r>
      <w:r>
        <w:rPr>
          <w:rFonts w:ascii="Tahoma" w:hAnsi="Tahoma" w:cs="Tahoma"/>
          <w:i/>
          <w:iCs/>
        </w:rPr>
        <w:t>”</w:t>
      </w:r>
      <w:r>
        <w:rPr>
          <w:rFonts w:ascii="Tahoma" w:hAnsi="Tahoma" w:cs="Tahoma"/>
        </w:rPr>
        <w:t xml:space="preserve">, savukārt Projekta 7.punkts paredz papildināt noteikumu 28.punktu, nosakot, ka </w:t>
      </w:r>
      <w:r>
        <w:rPr>
          <w:rFonts w:ascii="Tahoma" w:hAnsi="Tahoma" w:cs="Tahoma"/>
          <w:i/>
          <w:iCs/>
        </w:rPr>
        <w:t xml:space="preserve">“Par poligonu gāzēm uzskatāmas arī </w:t>
      </w:r>
      <w:r>
        <w:rPr>
          <w:rFonts w:ascii="Tahoma" w:hAnsi="Tahoma" w:cs="Tahoma"/>
          <w:b/>
          <w:bCs/>
          <w:i/>
          <w:iCs/>
        </w:rPr>
        <w:t>gāzes, kas radušās poligonā bioloģisko atkritumu reģenerācijas vai pārstrādes rezultātā</w:t>
      </w:r>
      <w:r>
        <w:rPr>
          <w:rFonts w:ascii="Tahoma" w:hAnsi="Tahoma" w:cs="Tahoma"/>
          <w:i/>
          <w:iCs/>
        </w:rPr>
        <w:t>”</w:t>
      </w:r>
      <w:r>
        <w:rPr>
          <w:rFonts w:ascii="Tahoma" w:hAnsi="Tahoma" w:cs="Tahoma"/>
        </w:rPr>
        <w:t xml:space="preserve">. Tātad sākotnēji tiek definēts, ka par poligonu gāzēm sauc gāzes, kas veidojas no krātuvē vai iekārtā apglabātajiem atkritumiem, bet tālākā Projekta redakcija pieļauj šī nosaukuma attiecināšanu arī uz gāzēm, kas veidojas citos tehnoloģiskajos procesos, kas nav atkritumu apglabāšana. </w:t>
      </w:r>
    </w:p>
    <w:p w14:paraId="1BBA6050" w14:textId="77777777" w:rsidR="00CD2876" w:rsidRDefault="00CD2876" w:rsidP="00CD2876">
      <w:pPr>
        <w:ind w:firstLine="709"/>
        <w:jc w:val="both"/>
        <w:rPr>
          <w:rFonts w:ascii="Tahoma" w:hAnsi="Tahoma" w:cs="Tahoma"/>
        </w:rPr>
      </w:pPr>
      <w:r>
        <w:rPr>
          <w:rFonts w:ascii="Tahoma" w:hAnsi="Tahoma" w:cs="Tahoma"/>
        </w:rPr>
        <w:t>Regulatora ieskatā minētā definīcija būtu jāsalāgo arī ar normatīvajiem aktiem, kas noteic citu – saistīto nozaru darbības (piemēram, enerģētikas nozare).</w:t>
      </w:r>
    </w:p>
    <w:p w14:paraId="580D8AFE" w14:textId="77777777" w:rsidR="00CD2876" w:rsidRDefault="00CD2876" w:rsidP="00CD2876">
      <w:pPr>
        <w:ind w:firstLine="709"/>
        <w:jc w:val="both"/>
        <w:rPr>
          <w:rFonts w:ascii="Tahoma" w:hAnsi="Tahoma" w:cs="Tahoma"/>
        </w:rPr>
      </w:pPr>
    </w:p>
    <w:p w14:paraId="1A9A1961" w14:textId="77777777" w:rsidR="00CD2876" w:rsidRDefault="00CD2876" w:rsidP="00CD2876">
      <w:pPr>
        <w:ind w:firstLine="709"/>
        <w:jc w:val="both"/>
        <w:rPr>
          <w:rFonts w:ascii="Tahoma" w:hAnsi="Tahoma" w:cs="Tahoma"/>
        </w:rPr>
      </w:pPr>
    </w:p>
    <w:p w14:paraId="24CC4F51" w14:textId="77777777" w:rsidR="00CD2876" w:rsidRDefault="00CD2876" w:rsidP="00CD2876">
      <w:pPr>
        <w:jc w:val="both"/>
        <w:rPr>
          <w:rFonts w:ascii="Tahoma" w:hAnsi="Tahoma" w:cs="Tahoma"/>
        </w:rPr>
      </w:pPr>
      <w:r>
        <w:rPr>
          <w:rFonts w:ascii="Tahoma" w:hAnsi="Tahoma" w:cs="Tahoma"/>
        </w:rPr>
        <w:t>Ar cieņu</w:t>
      </w:r>
    </w:p>
    <w:p w14:paraId="4D0BAF4A" w14:textId="77777777" w:rsidR="00CD2876" w:rsidRDefault="00CD2876" w:rsidP="00CD2876">
      <w:pPr>
        <w:rPr>
          <w:color w:val="4472C4"/>
        </w:rPr>
      </w:pPr>
    </w:p>
    <w:p w14:paraId="5450940E" w14:textId="77777777" w:rsidR="00CD2876" w:rsidRDefault="00CD2876" w:rsidP="00CD2876">
      <w:pPr>
        <w:spacing w:after="160" w:line="252" w:lineRule="auto"/>
        <w:rPr>
          <w:rFonts w:ascii="Tahoma" w:hAnsi="Tahoma" w:cs="Tahoma"/>
          <w:b/>
          <w:bCs/>
          <w:color w:val="808080"/>
          <w:sz w:val="8"/>
          <w:szCs w:val="8"/>
          <w:lang w:eastAsia="lv-LV"/>
        </w:rPr>
      </w:pPr>
      <w:r>
        <w:rPr>
          <w:rFonts w:ascii="Tahoma" w:hAnsi="Tahoma" w:cs="Tahoma"/>
          <w:b/>
          <w:bCs/>
          <w:color w:val="808080"/>
          <w:sz w:val="18"/>
          <w:szCs w:val="18"/>
          <w:lang w:eastAsia="lv-LV"/>
        </w:rPr>
        <w:t>Inese Vēvere</w:t>
      </w:r>
      <w:r>
        <w:rPr>
          <w:rFonts w:ascii="Tahoma" w:hAnsi="Tahoma" w:cs="Tahoma"/>
          <w:color w:val="808080"/>
          <w:sz w:val="16"/>
          <w:szCs w:val="16"/>
          <w:lang w:eastAsia="lv-LV"/>
        </w:rPr>
        <w:br/>
        <w:t>Ūdenssaimniecības, depozīta sistēmas un atkritumu departamenta</w:t>
      </w:r>
      <w:r>
        <w:rPr>
          <w:rFonts w:ascii="Tahoma" w:hAnsi="Tahoma" w:cs="Tahoma"/>
          <w:color w:val="808080"/>
          <w:sz w:val="16"/>
          <w:szCs w:val="16"/>
          <w:lang w:eastAsia="lv-LV"/>
        </w:rPr>
        <w:br/>
        <w:t>Depozīta sistēmas un atkritumu nodaļas</w:t>
      </w:r>
      <w:r>
        <w:rPr>
          <w:rFonts w:ascii="Tahoma" w:hAnsi="Tahoma" w:cs="Tahoma"/>
          <w:color w:val="808080"/>
          <w:sz w:val="16"/>
          <w:szCs w:val="16"/>
          <w:lang w:eastAsia="lv-LV"/>
        </w:rPr>
        <w:br/>
      </w:r>
      <w:proofErr w:type="spellStart"/>
      <w:r>
        <w:rPr>
          <w:rFonts w:ascii="Tahoma" w:hAnsi="Tahoma" w:cs="Tahoma"/>
          <w:color w:val="808080"/>
          <w:sz w:val="16"/>
          <w:szCs w:val="16"/>
          <w:lang w:eastAsia="lv-LV"/>
        </w:rPr>
        <w:t>Nodaļas</w:t>
      </w:r>
      <w:proofErr w:type="spellEnd"/>
      <w:r>
        <w:rPr>
          <w:rFonts w:ascii="Tahoma" w:hAnsi="Tahoma" w:cs="Tahoma"/>
          <w:color w:val="808080"/>
          <w:sz w:val="16"/>
          <w:szCs w:val="16"/>
          <w:lang w:eastAsia="lv-LV"/>
        </w:rPr>
        <w:t xml:space="preserve"> vadītāja</w:t>
      </w:r>
      <w:r>
        <w:rPr>
          <w:rFonts w:ascii="Tahoma" w:hAnsi="Tahoma" w:cs="Tahoma"/>
          <w:color w:val="808080"/>
          <w:sz w:val="16"/>
          <w:szCs w:val="16"/>
          <w:lang w:eastAsia="lv-LV"/>
        </w:rPr>
        <w:br/>
        <w:t xml:space="preserve">T. +371 67097267 </w:t>
      </w:r>
      <w:r>
        <w:rPr>
          <w:rFonts w:ascii="Tahoma" w:hAnsi="Tahoma" w:cs="Tahoma"/>
          <w:color w:val="808080"/>
          <w:sz w:val="16"/>
          <w:szCs w:val="16"/>
          <w:lang w:eastAsia="lv-LV"/>
        </w:rPr>
        <w:br/>
      </w:r>
      <w:r>
        <w:rPr>
          <w:rFonts w:ascii="Tahoma" w:hAnsi="Tahoma" w:cs="Tahoma"/>
          <w:b/>
          <w:bCs/>
          <w:color w:val="808080"/>
          <w:sz w:val="8"/>
          <w:szCs w:val="8"/>
          <w:lang w:eastAsia="lv-LV"/>
        </w:rPr>
        <w:t>____________________________________________________________________________________</w:t>
      </w:r>
    </w:p>
    <w:p w14:paraId="324CC5B0" w14:textId="180BEF69" w:rsidR="00CD2876" w:rsidRDefault="00CD2876" w:rsidP="00CD2876">
      <w:pPr>
        <w:spacing w:after="240" w:line="252" w:lineRule="auto"/>
        <w:rPr>
          <w:rFonts w:ascii="Tahoma" w:hAnsi="Tahoma" w:cs="Tahoma"/>
          <w:color w:val="000000"/>
          <w:sz w:val="16"/>
          <w:szCs w:val="16"/>
          <w:lang w:eastAsia="lv-LV"/>
        </w:rPr>
      </w:pPr>
      <w:r>
        <w:rPr>
          <w:noProof/>
        </w:rPr>
        <w:drawing>
          <wp:anchor distT="0" distB="0" distL="0" distR="0" simplePos="0" relativeHeight="251658240" behindDoc="0" locked="0" layoutInCell="1" allowOverlap="1" wp14:anchorId="731738F4" wp14:editId="45C4555F">
            <wp:simplePos x="0" y="0"/>
            <wp:positionH relativeFrom="column">
              <wp:posOffset>0</wp:posOffset>
            </wp:positionH>
            <wp:positionV relativeFrom="paragraph">
              <wp:posOffset>1905</wp:posOffset>
            </wp:positionV>
            <wp:extent cx="1920240" cy="487680"/>
            <wp:effectExtent l="0" t="0" r="3810" b="7620"/>
            <wp:wrapSquare wrapText="bothSides"/>
            <wp:docPr id="6" name="Picture 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0240" cy="48768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color w:val="808080"/>
          <w:sz w:val="16"/>
          <w:szCs w:val="16"/>
          <w:lang w:eastAsia="lv-LV"/>
        </w:rPr>
        <w:br/>
      </w:r>
      <w:r>
        <w:rPr>
          <w:rFonts w:ascii="Tahoma" w:hAnsi="Tahoma" w:cs="Tahoma"/>
          <w:color w:val="808080"/>
          <w:sz w:val="16"/>
          <w:szCs w:val="16"/>
          <w:lang w:eastAsia="lv-LV"/>
        </w:rPr>
        <w:br/>
      </w:r>
      <w:r>
        <w:rPr>
          <w:rFonts w:ascii="Tahoma" w:hAnsi="Tahoma" w:cs="Tahoma"/>
          <w:color w:val="808080"/>
          <w:sz w:val="16"/>
          <w:szCs w:val="16"/>
          <w:lang w:eastAsia="lv-LV"/>
        </w:rPr>
        <w:br/>
      </w:r>
      <w:r>
        <w:rPr>
          <w:rFonts w:ascii="Tahoma" w:hAnsi="Tahoma" w:cs="Tahoma"/>
          <w:color w:val="808080"/>
          <w:sz w:val="16"/>
          <w:szCs w:val="16"/>
          <w:lang w:eastAsia="lv-LV"/>
        </w:rPr>
        <w:br/>
        <w:t>Ūnijas iela 45,Rīga, LV-1039</w:t>
      </w:r>
      <w:r>
        <w:rPr>
          <w:rFonts w:ascii="Tahoma" w:hAnsi="Tahoma" w:cs="Tahoma"/>
          <w:color w:val="808080"/>
          <w:sz w:val="16"/>
          <w:szCs w:val="16"/>
          <w:lang w:eastAsia="lv-LV"/>
        </w:rPr>
        <w:br/>
      </w:r>
      <w:hyperlink r:id="rId6" w:history="1">
        <w:r>
          <w:rPr>
            <w:rStyle w:val="Hyperlink"/>
            <w:rFonts w:ascii="Tahoma" w:hAnsi="Tahoma" w:cs="Tahoma"/>
            <w:sz w:val="16"/>
            <w:szCs w:val="16"/>
            <w:lang w:eastAsia="lv-LV"/>
          </w:rPr>
          <w:t>www.sprk.gov.lv</w:t>
        </w:r>
      </w:hyperlink>
      <w:r>
        <w:rPr>
          <w:rFonts w:ascii="Tahoma" w:hAnsi="Tahoma" w:cs="Tahoma"/>
          <w:color w:val="808080"/>
          <w:sz w:val="16"/>
          <w:szCs w:val="16"/>
          <w:lang w:eastAsia="lv-LV"/>
        </w:rPr>
        <w:br/>
      </w:r>
      <w:r>
        <w:rPr>
          <w:noProof/>
        </w:rPr>
        <w:drawing>
          <wp:anchor distT="0" distB="0" distL="0" distR="0" simplePos="0" relativeHeight="251658240" behindDoc="0" locked="0" layoutInCell="1" allowOverlap="1" wp14:anchorId="5CF0CF11" wp14:editId="719CCD08">
            <wp:simplePos x="0" y="0"/>
            <wp:positionH relativeFrom="column">
              <wp:posOffset>0</wp:posOffset>
            </wp:positionH>
            <wp:positionV relativeFrom="paragraph">
              <wp:posOffset>792480</wp:posOffset>
            </wp:positionV>
            <wp:extent cx="142875" cy="142875"/>
            <wp:effectExtent l="0" t="0" r="9525" b="9525"/>
            <wp:wrapSquare wrapText="bothSides"/>
            <wp:docPr id="5" name="Picture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8240" behindDoc="0" locked="0" layoutInCell="1" allowOverlap="1" wp14:anchorId="1D44A4B5" wp14:editId="1ADFC998">
            <wp:simplePos x="0" y="0"/>
            <wp:positionH relativeFrom="column">
              <wp:posOffset>152400</wp:posOffset>
            </wp:positionH>
            <wp:positionV relativeFrom="paragraph">
              <wp:posOffset>792480</wp:posOffset>
            </wp:positionV>
            <wp:extent cx="36195" cy="14287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95" cy="142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8240" behindDoc="0" locked="0" layoutInCell="1" allowOverlap="1" wp14:anchorId="6D6F6BF3" wp14:editId="6E705B9B">
            <wp:simplePos x="0" y="0"/>
            <wp:positionH relativeFrom="column">
              <wp:posOffset>190500</wp:posOffset>
            </wp:positionH>
            <wp:positionV relativeFrom="paragraph">
              <wp:posOffset>792480</wp:posOffset>
            </wp:positionV>
            <wp:extent cx="142875" cy="142875"/>
            <wp:effectExtent l="0" t="0" r="9525" b="9525"/>
            <wp:wrapSquare wrapText="bothSides"/>
            <wp:docPr id="3" name="Picture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8240" behindDoc="0" locked="0" layoutInCell="1" allowOverlap="1" wp14:anchorId="668D2BF5" wp14:editId="6EA04180">
            <wp:simplePos x="0" y="0"/>
            <wp:positionH relativeFrom="column">
              <wp:posOffset>342900</wp:posOffset>
            </wp:positionH>
            <wp:positionV relativeFrom="paragraph">
              <wp:posOffset>792480</wp:posOffset>
            </wp:positionV>
            <wp:extent cx="36195" cy="1428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95" cy="142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8240" behindDoc="0" locked="0" layoutInCell="1" allowOverlap="1" wp14:anchorId="50DC3862" wp14:editId="7D81B6DA">
            <wp:simplePos x="0" y="0"/>
            <wp:positionH relativeFrom="column">
              <wp:posOffset>381000</wp:posOffset>
            </wp:positionH>
            <wp:positionV relativeFrom="paragraph">
              <wp:posOffset>792480</wp:posOffset>
            </wp:positionV>
            <wp:extent cx="142875" cy="142875"/>
            <wp:effectExtent l="0" t="0" r="9525" b="9525"/>
            <wp:wrapSquare wrapText="bothSides"/>
            <wp:docPr id="1" name="Picture 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6">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color w:val="000000"/>
          <w:sz w:val="16"/>
          <w:szCs w:val="16"/>
          <w:lang w:eastAsia="lv-LV"/>
        </w:rPr>
        <w:br/>
      </w:r>
      <w:r>
        <w:rPr>
          <w:rFonts w:ascii="Tahoma" w:hAnsi="Tahoma" w:cs="Tahoma"/>
          <w:color w:val="000000"/>
          <w:sz w:val="16"/>
          <w:szCs w:val="16"/>
          <w:lang w:eastAsia="lv-LV"/>
        </w:rPr>
        <w:br/>
        <w:t xml:space="preserve">Šis e-pasts un tā pielikumi var saturēt ierobežotas pieejamības informāciju un ir paredzēti tikai tā saņēmējam. Ja esat saņēmis šo e-pastu kļūdas dēļ, Jums nav tiesību izmantot, pārsūtīt vai kā citādi apstrādāt šajā e-pastā un tam </w:t>
      </w:r>
      <w:r>
        <w:rPr>
          <w:rFonts w:ascii="Tahoma" w:hAnsi="Tahoma" w:cs="Tahoma"/>
          <w:color w:val="000000"/>
          <w:sz w:val="16"/>
          <w:szCs w:val="16"/>
          <w:lang w:eastAsia="lv-LV"/>
        </w:rPr>
        <w:lastRenderedPageBreak/>
        <w:t>pievienotajos dokumentos ietverto informāciju. Šādā gadījumā nekavējoties informējiet par to sūtītāju un neatgriezeniski izdzēsiet šo e-pastu ar tā pielikumiem!</w:t>
      </w:r>
      <w:r>
        <w:rPr>
          <w:rFonts w:ascii="Tahoma" w:hAnsi="Tahoma" w:cs="Tahoma"/>
          <w:color w:val="000000"/>
          <w:sz w:val="16"/>
          <w:szCs w:val="16"/>
          <w:lang w:eastAsia="lv-LV"/>
        </w:rPr>
        <w:br/>
      </w:r>
      <w:r>
        <w:rPr>
          <w:rFonts w:ascii="Tahoma" w:hAnsi="Tahoma" w:cs="Tahoma"/>
          <w:color w:val="000000"/>
          <w:sz w:val="16"/>
          <w:szCs w:val="16"/>
          <w:lang w:eastAsia="lv-LV"/>
        </w:rPr>
        <w:br/>
        <w:t>Rūpējoties par drošību, turpinām ievērot piesardzības pasākumus un aicinām izvērtēt nepieciešamību tikties klātienē. Saziņai lūdzam izmantot telefonu, e-pastu vai citus elektroniskos saziņas līdzekļus.</w:t>
      </w:r>
    </w:p>
    <w:p w14:paraId="4648BA4B" w14:textId="77777777" w:rsidR="00CD2876" w:rsidRDefault="00CD2876" w:rsidP="00CD2876">
      <w:pPr>
        <w:rPr>
          <w:color w:val="4472C4"/>
        </w:rPr>
      </w:pPr>
    </w:p>
    <w:p w14:paraId="7284255F" w14:textId="77777777" w:rsidR="002A4951" w:rsidRDefault="00CD2876"/>
    <w:sectPr w:rsidR="002A495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876"/>
    <w:rsid w:val="009C6B2F"/>
    <w:rsid w:val="00A24220"/>
    <w:rsid w:val="00CD28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57682"/>
  <w15:chartTrackingRefBased/>
  <w15:docId w15:val="{EDD936F1-73B9-419A-A0D7-97FF55447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87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287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5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hyperlink" Target="https://www.facebook.com/SabiedriskoPakalpojumuRegulators/" TargetMode="External"/><Relationship Id="rId12" Type="http://schemas.openxmlformats.org/officeDocument/2006/relationships/hyperlink" Target="https://www.linkedin.com/company/public-utilities-commission-of-latvia/abou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www.sprk.gov.lv"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twitter.com/sprk_lv" TargetMode="External"/><Relationship Id="rId4" Type="http://schemas.openxmlformats.org/officeDocument/2006/relationships/hyperlink" Target="http://www.sprk.gov.lv/" TargetMode="Externa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1822</Words>
  <Characters>1039</Characters>
  <Application>Microsoft Office Word</Application>
  <DocSecurity>0</DocSecurity>
  <Lines>8</Lines>
  <Paragraphs>5</Paragraphs>
  <ScaleCrop>false</ScaleCrop>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Doniņa</dc:creator>
  <cp:keywords/>
  <dc:description/>
  <cp:lastModifiedBy>Ilze Doniņa</cp:lastModifiedBy>
  <cp:revision>1</cp:revision>
  <dcterms:created xsi:type="dcterms:W3CDTF">2021-05-21T08:51:00Z</dcterms:created>
  <dcterms:modified xsi:type="dcterms:W3CDTF">2021-05-21T08:51:00Z</dcterms:modified>
</cp:coreProperties>
</file>