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31. jūlija noteikumos Nr. 525 "Kārtība, kādā atsevišķiem naftas produktiem piemēro samazinātu akcīzes nodokļa likmi vai atbrīvojumu no akcīzes nodokļa"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anotācijas 5. daļu, izvērstāk skaidrojot tiesību akta projekta atbilstību Latvijas Republikas starptautiskajām saistībām, kas izriet no Eiropas Komisijas 2022.gada 17.janvāra Īstenošanas lēmuma 2022/197/ES, ar ko nosaka kopīgu fiskālo marķieri vieglajai dīzeļdegvielai un petrolejai, kas, atbilstoši anotācijā sniegtajai informācijai, ir uzskatāms par grozījumu pamatojumu. Iesakām aizpildīt nevis anotācijas 5.3. apakšpunktu, bet 5.1. apakšpunktu un 5.4.apakšpunkta 1. tabulu, norādot konkrētas minētā lēmuma vienības un atspoguļojot to ieviešanu, tādējādi nodrošinot pilnīgu un korektu izpratni par no lēmuma izrietošo saistību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projekts ietekmē saistības pret Eiropas Savienību, aizpilda anotācijas 5.1. apakšpunktu, norādot tiesību akta CELEX numuru, datumu, numuru un nosaukumu, kura prasības tiek pārņemtas vai ieviestas ar projektu, bet anotācijas 5.4. apakšpunkta 1. tabulā raksturo projekta atbilstības pakāpi Eiropas Savienības tiesību aktiem, norādot katru attiecīgā Eiropas Savienības tiesību akta pantu, daļu, punktu, apakšpunktu, kas jāpārņem vai jāievieš nacionālajā tiesību sistēmā (A aile). "B" ailē norāda katru projekta pantu, daļu, punktu, apakšpunktu, ar kuru tiks pārņemts vai ieviests Eiropas Savienības tiesību akta pants, daļa, punkts vai apakšpunkts, vai norāda vispārīgu atsauci uz tiesību aktu, kurā ir vai tiks pārņemtas tiesību normas. "C" ailē norāda vai attiecīgo Eiropas Savienības tiesību aktu normas projektā tiek pārņemtas vai ieviestas pilnībā vai daļēji.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Piegādātājs iezīmētos (marķētos) naftas produktus līdz 2024.gada 30.jūnijam drīkst realizēt lietotājam Latvijas Republikā, nepievienojot papildus 27.punktā minēto ķīmisko vielu (fiskālo marķieri), ja iezīmētiem naftas produktiem uz 1000 litriem ir pievienota ķīmiskā viela N-etil-N-2-(1-izobutoksietoksi)etilazo­benzol-4-amīns (Solvent Yellow 124) - vismaz 6,0 gramu, bet ne vairāk kā 9,0 gramu un ja ķīmiskā viela ir iegādāta līdz šo grozījumu spēkā stāšanās dienai.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4. punktā izteikto 133. punktu kontekstā ar Eiropas Komisijas 2022. gada 17. janvāra Īstenošanas lēmumu 2022/197/ES, ar ko nosaka kopīgu fiskālo marķieri vieglajai dīzeļdegvielai un petrolejai, 2. pantu, no kura izriet, ka </w:t>
            </w:r>
            <w:r w:rsidR="00000000" w:rsidRPr="00000000" w:rsidDel="00000000">
              <w:rPr>
                <w:u w:val="single"/>
                <w:rtl w:val="0"/>
              </w:rPr>
              <w:t xml:space="preserve">pārejas periods, kurā ir atļauts izmantot fiskālo marķieri Solvent Yellow 124 , beidzas 2024. gada 18. janvārī, bet projekta 4. punktā noteikts, ka piegādātājs ar Solvent Yellow 124 iezīmētos (marķētos) naftas produktus (papildus nepievienojot projekta 3.punktā minēto ķīmisko vielu (fiskālo marķieri)), drīkstēs realizēt līdz 2024. gada 30. jūnijam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ir secināms, ka datumi nesakrīt, tāpēc lūdzam pārskatīt projektu un veikt labojumus, ja tādi nepieciešami, vai sniegt skaidrojumus anotācijas 1.3. apakšpunkta risinājuma apraksta 2.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1.1. apakšpunktu, kurā kā pamatojums norādīta Ministru prezidenta rezolūcija, bet skaidrojumā minēts Eiropas Komisijas 2022.gada 17.janvāra Īstenošanas lēmums 2022/197/ES, ar ko nosaka kopīgu fiskālo marķieri vieglajai dīzeļdegvielai un petrolejai, kas neatbilst norādītajam pamatojumam. Attiecīgi lūdzam veikt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precizēt anotācijas 1.2. apakšpunktu, jo atbilstoši projekta saturam grozījumi Ministru kabineta 2007. gada 31. jūlija noteikumos Nr. 525 "Kārtība, kādā atsevišķiem naftas produktiem piemēro samazinātu akcīzes nodokļa likmi vai atbrīvojumu no akcīzes nodokļa" (turpmāk - noteikumi Nr. 525) paredz ne tikai jauna fiskālā marķiera ieviešanu, bet arī izmaiņas, piemēram, attiecībā uz izmantojamo krāsvielu.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1.3. apakšpunkta risinājuma apraksta 1. punktu, kur, skaidrojot projekta 3. punktu (noteikumu Nr.525 27. punkts), norādīts, ka fiskālo marķieri Solvent Yellow 124 aizstāj ar fiskālo marķieri ACCUTRACE</w:t>
            </w:r>
            <w:r w:rsidR="00000000" w:rsidRPr="00000000" w:rsidDel="00000000">
              <w:rPr>
                <w:vertAlign w:val="superscript"/>
                <w:rtl w:val="0"/>
              </w:rPr>
              <w:t xml:space="preserve">TM</w:t>
            </w:r>
            <w:r w:rsidR="00000000" w:rsidRPr="00000000" w:rsidDel="00000000">
              <w:rPr>
                <w:rtl w:val="0"/>
              </w:rPr>
              <w:t xml:space="preserve"> PLUS, vienlaikus nosakot, pievienojamās ķīmiskās vielas "butoksibenzola" daudzumu, bet projekta 3. punkta redakcijā noteikta vienkārši izmantojamā ķīmiskā viela (fiskālais marķieris) "butoksilbenzols" un tā daudzums. Līdzīgi tiek skaidrots arī projekta 2. punktā izteiktais 26. punkts, anotācijā minot to, ka tiek atstāta viena sarkanā krāsviela (Solvent Red 19), bet projekta 2. punktā norādīts, ka par sarkano krāsvielu izmanto N-etil-1-(4-fenilazofenilazo)naftil-2-amīnu. Attiecīgi, nav skaidrs vai ar anotācijā sniegto skaidrojumu ir saprotams tas pats, kas ietverts projektā, jo tiek lietoti atšķirīgi formulējumi.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Komerclikuma 18. pantu termins "uzņēmums" apzīmē organizatoriski saimniecisku vienību un nevis komercdarbības vai saimnieciskās darbības subjektu, lūdzam izvērtēt un nepieciešamības gadījumā precizēt anotāciju termina "uzņēmums" vietā izmantojot terminu "komersants" vai "saimnieciskās darbības veicējs". Attiecīgi lūdzam pārskatīt termina "uzņēmums" lietojumu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23-TA-1874</w:t>
    </w:r>
    <w:r>
      <w:br/>
    </w:r>
    <w:r w:rsidR="00000000" w:rsidRPr="00000000" w:rsidDel="00000000">
      <w:rPr>
        <w:rtl w:val="0"/>
      </w:rPr>
      <w:t xml:space="preserve">Izdrukāts 06.09.2023. 22.04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23-TA-1874</w:t>
    </w:r>
    <w:r>
      <w:br/>
    </w:r>
    <w:r w:rsidR="00000000" w:rsidRPr="00000000" w:rsidDel="00000000">
      <w:rPr>
        <w:rtl w:val="0"/>
      </w:rPr>
      <w:t xml:space="preserve">Izdrukāts 06.09.2023. 22.04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Atzinumi_23-TA-1874.docx</dc:title>
</cp:coreProperties>
</file>

<file path=docProps/custom.xml><?xml version="1.0" encoding="utf-8"?>
<Properties xmlns="http://schemas.openxmlformats.org/officeDocument/2006/custom-properties" xmlns:vt="http://schemas.openxmlformats.org/officeDocument/2006/docPropsVTypes"/>
</file>