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finansējuma saņēmējs glabā saskaņā ar Eiropas Parlamenta un Padomes Regulas (ES, Euratom) 2024/2509 (2024. gada 23. septembris) par finanšu noteikumiem, ko piemēro Savienības vispārējam budžetam (pārstrādāta redakcija)  (turpmāk – Komisijas regula </w:t>
            </w:r>
            <w:r w:rsidR="00000000" w:rsidRPr="00000000" w:rsidDel="00000000">
              <w:rPr>
                <w:rtl w:val="0"/>
              </w:rPr>
              <w:t xml:space="preserve">2024/</w:t>
            </w:r>
            <w:r w:rsidR="00000000" w:rsidRPr="00000000" w:rsidDel="00000000">
              <w:rPr>
                <w:rtl w:val="0"/>
              </w:rPr>
              <w:t xml:space="preserve">2509) 132.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33.12. apakšpunktā atsauce uz Eiropas Parlamenta un Padomes 2024. gada 23. septembra Regulas (ES, Euratom) 2024/2509 par finanšu noteikumiem, ko piemēro Savienības vispārējam budžetam, (pārstrādātā redakcija) 132. pantu nav noformēta atbilstoši Ministru kabineta 2009. gada 3. februāra noteikumu Nr. 108 "Normatīvo aktu projektu sagatavošanas noteikumi" 170. un 171. punktu prasībām. Ņemot vērā minēto, lūdzam precizēt atsauci atbilstoši šīm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finansējuma saņēmējs glabā saskaņā ar Eiropas Parlamenta un Padomes 2024. gada 23. septembra Regulas (ES, Euratom) 2024/2509 par finanšu noteikumiem, ko piemēro Savienības vispārējam budžetam, (pārstrādātā redakcija) (turpmāk – Komisijas regula </w:t>
            </w:r>
            <w:r w:rsidR="00000000" w:rsidRPr="00000000" w:rsidDel="00000000">
              <w:rPr>
                <w:rtl w:val="0"/>
              </w:rPr>
              <w:t xml:space="preserve">2024/</w:t>
            </w:r>
            <w:r w:rsidR="00000000" w:rsidRPr="00000000" w:rsidDel="00000000">
              <w:rPr>
                <w:rtl w:val="0"/>
              </w:rPr>
              <w:t xml:space="preserve">2509) 132.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28.03.2025.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28.03.2025.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