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rezultātu uzturēšanas izmaksas 2026.gadā ne vairāk kā 391 314 euro un sākot ar 2027.gadu ne vairāk kā 670 824 euro gadā, pieprasot tās normatīvajos aktos noteiktajā kārtībā un ievērojot Likuma par budžetu un finanšu vadību 9.1 panta otrajā daļā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Likuma par budžetu un finanšu vadību pantu, t.i., lūdzam aizstāt skaitli "9.1" ar skaitli "9.</w:t>
            </w:r>
            <w:r w:rsidR="00000000" w:rsidRPr="00000000" w:rsidDel="00000000">
              <w:rPr>
                <w:vertAlign w:val="superscript"/>
                <w:rtl w:val="0"/>
              </w:rPr>
              <w:t xml:space="preserve">1</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attīstības plāna piezīmju 2.punktu ar vārdiem "šī plāna" pirms skaitļa un vārda "7.punktā".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attīstības plāna 8.punkta pirmo rindkopu ar vārdiem "šī plāna" pirms skaitļa un vārda "7.punktā".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21.02.2023.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21.02.2023.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