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D46C6" w14:textId="77777777" w:rsidR="00262E38" w:rsidRDefault="00262E38" w:rsidP="00262E38">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Pasts &lt;Pasts@em.gov.lv&gt;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w:t>
      </w:r>
      <w:proofErr w:type="spellStart"/>
      <w:r>
        <w:rPr>
          <w:rFonts w:eastAsia="Times New Roman"/>
          <w:lang w:val="en-US" w:eastAsia="lv-LV"/>
        </w:rPr>
        <w:t>pirmdiena</w:t>
      </w:r>
      <w:proofErr w:type="spellEnd"/>
      <w:r>
        <w:rPr>
          <w:rFonts w:eastAsia="Times New Roman"/>
          <w:lang w:val="en-US" w:eastAsia="lv-LV"/>
        </w:rPr>
        <w:t xml:space="preserve">, 2023. </w:t>
      </w:r>
      <w:proofErr w:type="spellStart"/>
      <w:r>
        <w:rPr>
          <w:rFonts w:eastAsia="Times New Roman"/>
          <w:lang w:val="en-US" w:eastAsia="lv-LV"/>
        </w:rPr>
        <w:t>gada</w:t>
      </w:r>
      <w:proofErr w:type="spellEnd"/>
      <w:r>
        <w:rPr>
          <w:rFonts w:eastAsia="Times New Roman"/>
          <w:lang w:val="en-US" w:eastAsia="lv-LV"/>
        </w:rPr>
        <w:t xml:space="preserve"> 6. </w:t>
      </w:r>
      <w:proofErr w:type="spellStart"/>
      <w:r>
        <w:rPr>
          <w:rFonts w:eastAsia="Times New Roman"/>
          <w:lang w:val="en-US" w:eastAsia="lv-LV"/>
        </w:rPr>
        <w:t>februāris</w:t>
      </w:r>
      <w:proofErr w:type="spellEnd"/>
      <w:r>
        <w:rPr>
          <w:rFonts w:eastAsia="Times New Roman"/>
          <w:lang w:val="en-US" w:eastAsia="lv-LV"/>
        </w:rPr>
        <w:t xml:space="preserve"> 16:02</w:t>
      </w:r>
      <w:r>
        <w:rPr>
          <w:rFonts w:eastAsia="Times New Roman"/>
          <w:lang w:val="en-US" w:eastAsia="lv-LV"/>
        </w:rPr>
        <w:br/>
      </w:r>
      <w:r>
        <w:rPr>
          <w:rFonts w:eastAsia="Times New Roman"/>
          <w:b/>
          <w:bCs/>
          <w:lang w:val="en-US" w:eastAsia="lv-LV"/>
        </w:rPr>
        <w:t>To:</w:t>
      </w:r>
      <w:r>
        <w:rPr>
          <w:rFonts w:eastAsia="Times New Roman"/>
          <w:lang w:val="en-US" w:eastAsia="lv-LV"/>
        </w:rPr>
        <w:t xml:space="preserve"> Klimata un enerģētikas ministrija &lt;pasts@kem.gov.lv&gt;</w:t>
      </w:r>
      <w:r>
        <w:rPr>
          <w:rFonts w:eastAsia="Times New Roman"/>
          <w:lang w:val="en-US" w:eastAsia="lv-LV"/>
        </w:rPr>
        <w:br/>
      </w:r>
      <w:r>
        <w:rPr>
          <w:rFonts w:eastAsia="Times New Roman"/>
          <w:b/>
          <w:bCs/>
          <w:lang w:val="en-US" w:eastAsia="lv-LV"/>
        </w:rPr>
        <w:t>Cc:</w:t>
      </w:r>
      <w:r>
        <w:rPr>
          <w:rFonts w:eastAsia="Times New Roman"/>
          <w:lang w:val="en-US" w:eastAsia="lv-LV"/>
        </w:rPr>
        <w:t xml:space="preserve"> Iveta Rubika &lt;Iveta.Rubika@em.gov.lv&gt;; Zane Uzuliņa &lt;Zane.Uzulina@em.gov.lv&gt;; Edgars Grabovskis &lt;Edgars.Grabovskis@bvkb.gov.lv&gt;; Helēna Rimša &lt;Helena.Rimsa@kem.gov.lv&gt;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Ekonomikas </w:t>
      </w:r>
      <w:proofErr w:type="spellStart"/>
      <w:r>
        <w:rPr>
          <w:rFonts w:eastAsia="Times New Roman"/>
          <w:lang w:val="en-US" w:eastAsia="lv-LV"/>
        </w:rPr>
        <w:t>ministrijas</w:t>
      </w:r>
      <w:proofErr w:type="spellEnd"/>
      <w:r>
        <w:rPr>
          <w:rFonts w:eastAsia="Times New Roman"/>
          <w:lang w:val="en-US" w:eastAsia="lv-LV"/>
        </w:rPr>
        <w:t xml:space="preserve"> </w:t>
      </w:r>
      <w:proofErr w:type="spellStart"/>
      <w:r>
        <w:rPr>
          <w:rFonts w:eastAsia="Times New Roman"/>
          <w:lang w:val="en-US" w:eastAsia="lv-LV"/>
        </w:rPr>
        <w:t>atzinums</w:t>
      </w:r>
      <w:proofErr w:type="spellEnd"/>
      <w:r>
        <w:rPr>
          <w:rFonts w:eastAsia="Times New Roman"/>
          <w:lang w:val="en-US" w:eastAsia="lv-LV"/>
        </w:rPr>
        <w:t xml:space="preserve"> par TA lietu Nr. 23-TA-161</w:t>
      </w:r>
    </w:p>
    <w:p w14:paraId="5DB0F4E4" w14:textId="77777777" w:rsidR="00262E38" w:rsidRDefault="00262E38" w:rsidP="00262E38"/>
    <w:p w14:paraId="68AFBC4C" w14:textId="77777777" w:rsidR="00262E38" w:rsidRDefault="00262E38" w:rsidP="00262E38"/>
    <w:p w14:paraId="38D797E9" w14:textId="77777777" w:rsidR="00262E38" w:rsidRDefault="00262E38" w:rsidP="00262E38">
      <w:pPr>
        <w:jc w:val="right"/>
        <w:rPr>
          <w:b/>
          <w:bCs/>
        </w:rPr>
      </w:pPr>
      <w:r>
        <w:rPr>
          <w:b/>
          <w:bCs/>
        </w:rPr>
        <w:t>Klimata un enerģētikas ministrijai</w:t>
      </w:r>
    </w:p>
    <w:p w14:paraId="41EB997D" w14:textId="77777777" w:rsidR="00262E38" w:rsidRDefault="00262E38" w:rsidP="00262E38"/>
    <w:p w14:paraId="066C3412" w14:textId="77777777" w:rsidR="00262E38" w:rsidRDefault="00262E38" w:rsidP="00262E38"/>
    <w:p w14:paraId="001639FC" w14:textId="77777777" w:rsidR="00262E38" w:rsidRDefault="00262E38" w:rsidP="00262E38">
      <w:r>
        <w:t>Ekonomikas ministrija ir izskatījusi Klimata un enerģētikas ministrijas sagatavotos grozījumus Ministru kabineta 2022. gada 2.novembra noteikumos Nr. 686 "Noteikumi par ilgtspējas un siltumnīcefekta gāzu emisiju ietaupījuma kritērijiem, no biomasas kurināmā ražotās elektroenerģijas kritērijiem un kārtību, kādā pamatojama, apliecināma un uzraugāma atbilstība minētajiem kritērijiem" un izsaka šādu priekšlikumu:</w:t>
      </w:r>
    </w:p>
    <w:p w14:paraId="6FBB28CC" w14:textId="77777777" w:rsidR="00262E38" w:rsidRDefault="00262E38" w:rsidP="00262E38"/>
    <w:p w14:paraId="7A191969" w14:textId="77777777" w:rsidR="00262E38" w:rsidRDefault="00262E38" w:rsidP="00262E38">
      <w:r>
        <w:t>Vēršam uzmanību, lai noteikumu projekta 16.punktā paredzētajā termiņā Būvniecības valsts kontroles birojs (turpmāk - Birojs) varētu nodrošināt Energoresursu informācijas sistēmā paredzēto funkcionalitāti, nepieciešams papildu finansējums. Vienlaikus informējam, ka noteikumu projekta Anotācijas 7.sadaļā jau ir ietverta informācija par Ekonomikas ministrijai un Klimata un enerģētikas ministrijai adresētajā Biroja 2023.gada 30.janvāra vēstulē Nr.1-7.2/2023/272-nd ietverto lūgumu par papildu finansējuma nepieciešamību.</w:t>
      </w:r>
    </w:p>
    <w:p w14:paraId="2FF0D000" w14:textId="77777777" w:rsidR="00262E38" w:rsidRDefault="00262E38" w:rsidP="00262E38"/>
    <w:p w14:paraId="44685768" w14:textId="77777777" w:rsidR="00262E38" w:rsidRDefault="00262E38" w:rsidP="00262E38">
      <w:r>
        <w:t>Lai nodrošinātu Energoresursu informācijas sistēmā paredzēto funkcionalitāti, sniedzam šādu informāciju par provizoriskiem aprēķiniem.</w:t>
      </w:r>
    </w:p>
    <w:p w14:paraId="71EE0E97" w14:textId="77777777" w:rsidR="00262E38" w:rsidRDefault="00262E38" w:rsidP="00262E38"/>
    <w:p w14:paraId="54B2A094" w14:textId="77777777" w:rsidR="00262E38" w:rsidRDefault="00262E38" w:rsidP="00262E38">
      <w:r>
        <w:t>Esošajā novērtējumā līdz 150 000 EUR bez PVN plānotā funkcionalitāte:</w:t>
      </w:r>
    </w:p>
    <w:p w14:paraId="63C732FE" w14:textId="77777777" w:rsidR="00262E38" w:rsidRDefault="00262E38" w:rsidP="00262E38">
      <w:pPr>
        <w:pStyle w:val="ListParagraph"/>
        <w:numPr>
          <w:ilvl w:val="0"/>
          <w:numId w:val="1"/>
        </w:numPr>
        <w:rPr>
          <w:rFonts w:eastAsia="Times New Roman"/>
        </w:rPr>
      </w:pPr>
      <w:r>
        <w:rPr>
          <w:rFonts w:eastAsia="Times New Roman"/>
        </w:rPr>
        <w:t>Degvielas piegādātāja ziņojuma izveide ERIS (TET modulī):</w:t>
      </w:r>
    </w:p>
    <w:p w14:paraId="6BFC2352" w14:textId="77777777" w:rsidR="00262E38" w:rsidRDefault="00262E38" w:rsidP="00262E38">
      <w:pPr>
        <w:pStyle w:val="ListParagraph"/>
        <w:numPr>
          <w:ilvl w:val="1"/>
          <w:numId w:val="1"/>
        </w:numPr>
        <w:rPr>
          <w:rFonts w:eastAsia="Times New Roman"/>
        </w:rPr>
      </w:pPr>
      <w:r>
        <w:rPr>
          <w:rFonts w:eastAsia="Times New Roman"/>
        </w:rPr>
        <w:t>kopsavilkuma tabulas Excel failu augšupielāde un datu attēlošana ERIS</w:t>
      </w:r>
    </w:p>
    <w:p w14:paraId="42E3F3F4" w14:textId="77777777" w:rsidR="00262E38" w:rsidRDefault="00262E38" w:rsidP="00262E38">
      <w:pPr>
        <w:pStyle w:val="ListParagraph"/>
        <w:numPr>
          <w:ilvl w:val="1"/>
          <w:numId w:val="1"/>
        </w:numPr>
        <w:rPr>
          <w:rFonts w:eastAsia="Times New Roman"/>
        </w:rPr>
      </w:pPr>
      <w:r>
        <w:rPr>
          <w:rFonts w:eastAsia="Times New Roman"/>
        </w:rPr>
        <w:t>komunikācija ar komersantiem</w:t>
      </w:r>
    </w:p>
    <w:p w14:paraId="3E12B886" w14:textId="77777777" w:rsidR="00262E38" w:rsidRDefault="00262E38" w:rsidP="00262E38">
      <w:pPr>
        <w:pStyle w:val="ListParagraph"/>
        <w:numPr>
          <w:ilvl w:val="1"/>
          <w:numId w:val="1"/>
        </w:numPr>
        <w:rPr>
          <w:rFonts w:eastAsia="Times New Roman"/>
        </w:rPr>
      </w:pPr>
      <w:r>
        <w:rPr>
          <w:rFonts w:eastAsia="Times New Roman"/>
        </w:rPr>
        <w:t xml:space="preserve">datu nodošana uz </w:t>
      </w:r>
      <w:proofErr w:type="spellStart"/>
      <w:r>
        <w:rPr>
          <w:rFonts w:eastAsia="Times New Roman"/>
        </w:rPr>
        <w:t>Tableau</w:t>
      </w:r>
      <w:proofErr w:type="spellEnd"/>
      <w:r>
        <w:rPr>
          <w:rFonts w:eastAsia="Times New Roman"/>
        </w:rPr>
        <w:t xml:space="preserve"> un Atvērto datu portālu</w:t>
      </w:r>
    </w:p>
    <w:p w14:paraId="6F3DC132" w14:textId="77777777" w:rsidR="00262E38" w:rsidRDefault="00262E38" w:rsidP="00262E38">
      <w:pPr>
        <w:pStyle w:val="ListParagraph"/>
        <w:numPr>
          <w:ilvl w:val="1"/>
          <w:numId w:val="1"/>
        </w:numPr>
        <w:rPr>
          <w:rFonts w:eastAsia="Times New Roman"/>
        </w:rPr>
      </w:pPr>
      <w:r>
        <w:rPr>
          <w:rFonts w:eastAsia="Times New Roman"/>
        </w:rPr>
        <w:t>aprēķinu formulu iestrāde ERIS</w:t>
      </w:r>
    </w:p>
    <w:p w14:paraId="2F29972C" w14:textId="77777777" w:rsidR="00262E38" w:rsidRDefault="00262E38" w:rsidP="00262E38">
      <w:pPr>
        <w:pStyle w:val="ListParagraph"/>
        <w:numPr>
          <w:ilvl w:val="1"/>
          <w:numId w:val="1"/>
        </w:numPr>
        <w:rPr>
          <w:rFonts w:eastAsia="Times New Roman"/>
        </w:rPr>
      </w:pPr>
      <w:r>
        <w:rPr>
          <w:rFonts w:eastAsia="Times New Roman"/>
        </w:rPr>
        <w:t>datu ieguve no VID</w:t>
      </w:r>
    </w:p>
    <w:p w14:paraId="69993E23" w14:textId="77777777" w:rsidR="00262E38" w:rsidRDefault="00262E38" w:rsidP="00262E38">
      <w:pPr>
        <w:pStyle w:val="ListParagraph"/>
        <w:numPr>
          <w:ilvl w:val="1"/>
          <w:numId w:val="1"/>
        </w:numPr>
        <w:rPr>
          <w:rFonts w:eastAsia="Times New Roman"/>
        </w:rPr>
      </w:pPr>
      <w:r>
        <w:rPr>
          <w:rFonts w:eastAsia="Times New Roman"/>
        </w:rPr>
        <w:t>integrācija ar CSP un CSP darbavieta ERIS</w:t>
      </w:r>
    </w:p>
    <w:p w14:paraId="36F1A5AC" w14:textId="77777777" w:rsidR="00262E38" w:rsidRDefault="00262E38" w:rsidP="00262E38">
      <w:pPr>
        <w:pStyle w:val="ListParagraph"/>
        <w:numPr>
          <w:ilvl w:val="1"/>
          <w:numId w:val="1"/>
        </w:numPr>
        <w:rPr>
          <w:rFonts w:eastAsia="Times New Roman"/>
        </w:rPr>
      </w:pPr>
      <w:r>
        <w:rPr>
          <w:rFonts w:eastAsia="Times New Roman"/>
        </w:rPr>
        <w:t>BVKB darba vietā ir iespējams redzēt komersantu iesniegtos ziņojumus un to kopsavilkumu</w:t>
      </w:r>
    </w:p>
    <w:p w14:paraId="6F6D92F8" w14:textId="77777777" w:rsidR="00262E38" w:rsidRDefault="00262E38" w:rsidP="00262E38">
      <w:pPr>
        <w:pStyle w:val="ListParagraph"/>
        <w:numPr>
          <w:ilvl w:val="0"/>
          <w:numId w:val="1"/>
        </w:numPr>
        <w:rPr>
          <w:rFonts w:eastAsia="Times New Roman"/>
        </w:rPr>
      </w:pPr>
      <w:r>
        <w:rPr>
          <w:rFonts w:eastAsia="Times New Roman"/>
        </w:rPr>
        <w:t>komersantu (kurinātāju) atskaišu iesniegšana un apkopošana ERIS:</w:t>
      </w:r>
    </w:p>
    <w:p w14:paraId="59AC2BFA" w14:textId="77777777" w:rsidR="00262E38" w:rsidRDefault="00262E38" w:rsidP="00262E38">
      <w:pPr>
        <w:pStyle w:val="ListParagraph"/>
        <w:numPr>
          <w:ilvl w:val="1"/>
          <w:numId w:val="1"/>
        </w:numPr>
        <w:rPr>
          <w:rFonts w:eastAsia="Times New Roman"/>
        </w:rPr>
      </w:pPr>
      <w:r>
        <w:rPr>
          <w:rFonts w:eastAsia="Times New Roman"/>
        </w:rPr>
        <w:t>komersantu, elektroenerģijas ražotāju, atskaites izveide ERIS</w:t>
      </w:r>
    </w:p>
    <w:p w14:paraId="3D2007A3" w14:textId="77777777" w:rsidR="00262E38" w:rsidRDefault="00262E38" w:rsidP="00262E38">
      <w:pPr>
        <w:pStyle w:val="ListParagraph"/>
        <w:numPr>
          <w:ilvl w:val="1"/>
          <w:numId w:val="1"/>
        </w:numPr>
        <w:rPr>
          <w:rFonts w:eastAsia="Times New Roman"/>
        </w:rPr>
      </w:pPr>
      <w:r>
        <w:rPr>
          <w:rFonts w:eastAsia="Times New Roman"/>
        </w:rPr>
        <w:t>BVKB darba vietā ir iespējams redzēt komersantu iesniegtos ziņojumus un to kopsavilkumu</w:t>
      </w:r>
    </w:p>
    <w:p w14:paraId="10D1CEAF" w14:textId="77777777" w:rsidR="00262E38" w:rsidRDefault="00262E38" w:rsidP="00262E38">
      <w:pPr>
        <w:pStyle w:val="ListParagraph"/>
        <w:numPr>
          <w:ilvl w:val="1"/>
          <w:numId w:val="1"/>
        </w:numPr>
        <w:rPr>
          <w:rFonts w:eastAsia="Times New Roman"/>
        </w:rPr>
      </w:pPr>
      <w:r>
        <w:rPr>
          <w:rFonts w:eastAsia="Times New Roman"/>
        </w:rPr>
        <w:t>reģistra ar komersantiem izveide, kam jāveic atskaišu iesniegšana</w:t>
      </w:r>
    </w:p>
    <w:p w14:paraId="5BF2DA93" w14:textId="77777777" w:rsidR="00262E38" w:rsidRDefault="00262E38" w:rsidP="00262E38">
      <w:pPr>
        <w:pStyle w:val="ListParagraph"/>
        <w:numPr>
          <w:ilvl w:val="1"/>
          <w:numId w:val="1"/>
        </w:numPr>
        <w:rPr>
          <w:rFonts w:eastAsia="Times New Roman"/>
        </w:rPr>
      </w:pPr>
      <w:r>
        <w:rPr>
          <w:rFonts w:eastAsia="Times New Roman"/>
        </w:rPr>
        <w:t>TET darba vietas lietojamības pilnveidojumi, ņemot vērā jaunās prasības modulī</w:t>
      </w:r>
    </w:p>
    <w:p w14:paraId="0EB832CA" w14:textId="77777777" w:rsidR="00262E38" w:rsidRDefault="00262E38" w:rsidP="00262E38">
      <w:pPr>
        <w:pStyle w:val="ListParagraph"/>
        <w:numPr>
          <w:ilvl w:val="1"/>
          <w:numId w:val="1"/>
        </w:numPr>
        <w:rPr>
          <w:rFonts w:eastAsia="Times New Roman"/>
        </w:rPr>
      </w:pPr>
      <w:r>
        <w:rPr>
          <w:rFonts w:eastAsia="Times New Roman"/>
        </w:rPr>
        <w:t xml:space="preserve">datu nodošana uz </w:t>
      </w:r>
      <w:proofErr w:type="spellStart"/>
      <w:r>
        <w:rPr>
          <w:rFonts w:eastAsia="Times New Roman"/>
        </w:rPr>
        <w:t>Tableau</w:t>
      </w:r>
      <w:proofErr w:type="spellEnd"/>
      <w:r>
        <w:rPr>
          <w:rFonts w:eastAsia="Times New Roman"/>
        </w:rPr>
        <w:t xml:space="preserve"> un Atvērto datu portālu</w:t>
      </w:r>
    </w:p>
    <w:p w14:paraId="4B812CC0" w14:textId="77777777" w:rsidR="00262E38" w:rsidRDefault="00262E38" w:rsidP="00262E38">
      <w:pPr>
        <w:pStyle w:val="ListParagraph"/>
        <w:numPr>
          <w:ilvl w:val="1"/>
          <w:numId w:val="1"/>
        </w:numPr>
        <w:rPr>
          <w:rFonts w:eastAsia="Times New Roman"/>
        </w:rPr>
      </w:pPr>
      <w:r>
        <w:rPr>
          <w:rFonts w:eastAsia="Times New Roman"/>
        </w:rPr>
        <w:t>komunikācija ar komersantiem</w:t>
      </w:r>
    </w:p>
    <w:p w14:paraId="359E9286" w14:textId="77777777" w:rsidR="00262E38" w:rsidRDefault="00262E38" w:rsidP="00262E38"/>
    <w:p w14:paraId="1F67F12E" w14:textId="77777777" w:rsidR="00262E38" w:rsidRDefault="00262E38" w:rsidP="00262E38">
      <w:r>
        <w:t>Papildus aicinām izvērtēt nepieciešamību, vai anotācijas projektā nebūtu ietverama arī informācija par papildus finansējumu provizoriski līdz 156 000 EUR apmērā, lai varētu realizēt arī tādu funkcionalitāti, kas nepieciešama komersantiem, bet nav iekļauta sākotnējā novērtējumā:</w:t>
      </w:r>
    </w:p>
    <w:p w14:paraId="719C24A9" w14:textId="77777777" w:rsidR="00262E38" w:rsidRDefault="00262E38" w:rsidP="00262E38">
      <w:pPr>
        <w:pStyle w:val="ListParagraph"/>
        <w:numPr>
          <w:ilvl w:val="0"/>
          <w:numId w:val="2"/>
        </w:numPr>
        <w:rPr>
          <w:rFonts w:eastAsia="Times New Roman"/>
        </w:rPr>
      </w:pPr>
      <w:r>
        <w:rPr>
          <w:rFonts w:eastAsia="Times New Roman"/>
        </w:rPr>
        <w:t>atskaišu modulis:</w:t>
      </w:r>
    </w:p>
    <w:p w14:paraId="0E375505" w14:textId="77777777" w:rsidR="00262E38" w:rsidRDefault="00262E38" w:rsidP="00262E38">
      <w:pPr>
        <w:pStyle w:val="ListParagraph"/>
        <w:numPr>
          <w:ilvl w:val="1"/>
          <w:numId w:val="2"/>
        </w:numPr>
        <w:rPr>
          <w:rFonts w:eastAsia="Times New Roman"/>
        </w:rPr>
      </w:pPr>
      <w:r>
        <w:rPr>
          <w:rFonts w:eastAsia="Times New Roman"/>
        </w:rPr>
        <w:t>konfigurējamu klasifikatoru izstrāde un to pārvaldība - spēkā esamības periods, attiecīgo aprēķinu formulas, iespējams attiecināšana uz atsevišķiem komersantiem</w:t>
      </w:r>
    </w:p>
    <w:p w14:paraId="7BC54A66" w14:textId="77777777" w:rsidR="00262E38" w:rsidRDefault="00262E38" w:rsidP="00262E38">
      <w:pPr>
        <w:pStyle w:val="ListParagraph"/>
        <w:numPr>
          <w:ilvl w:val="1"/>
          <w:numId w:val="2"/>
        </w:numPr>
        <w:rPr>
          <w:rFonts w:eastAsia="Times New Roman"/>
        </w:rPr>
      </w:pPr>
      <w:r>
        <w:rPr>
          <w:rFonts w:eastAsia="Times New Roman"/>
        </w:rPr>
        <w:t xml:space="preserve">datu nodošana uz </w:t>
      </w:r>
      <w:proofErr w:type="spellStart"/>
      <w:r>
        <w:rPr>
          <w:rFonts w:eastAsia="Times New Roman"/>
        </w:rPr>
        <w:t>Tableau</w:t>
      </w:r>
      <w:proofErr w:type="spellEnd"/>
      <w:r>
        <w:rPr>
          <w:rFonts w:eastAsia="Times New Roman"/>
        </w:rPr>
        <w:t xml:space="preserve"> un Atvērto datu portālu</w:t>
      </w:r>
    </w:p>
    <w:p w14:paraId="5AC423FD" w14:textId="77777777" w:rsidR="00262E38" w:rsidRDefault="00262E38" w:rsidP="00262E38">
      <w:pPr>
        <w:pStyle w:val="ListParagraph"/>
        <w:numPr>
          <w:ilvl w:val="0"/>
          <w:numId w:val="2"/>
        </w:numPr>
        <w:rPr>
          <w:rFonts w:eastAsia="Times New Roman"/>
        </w:rPr>
      </w:pPr>
      <w:r>
        <w:rPr>
          <w:rFonts w:eastAsia="Times New Roman"/>
        </w:rPr>
        <w:t>apkopojošo diagrammu izveide komersantiem par atskaitēs norādītajiem datiem.</w:t>
      </w:r>
    </w:p>
    <w:p w14:paraId="31A58158" w14:textId="77777777" w:rsidR="00262E38" w:rsidRDefault="00262E38" w:rsidP="00262E38"/>
    <w:p w14:paraId="355FDE0B" w14:textId="77777777" w:rsidR="00262E38" w:rsidRDefault="00262E38" w:rsidP="00262E38"/>
    <w:p w14:paraId="39D61401" w14:textId="77777777" w:rsidR="00262E38" w:rsidRDefault="00262E38" w:rsidP="00262E38"/>
    <w:p w14:paraId="64CA3331" w14:textId="77777777" w:rsidR="00262E38" w:rsidRDefault="00262E38" w:rsidP="00262E38"/>
    <w:tbl>
      <w:tblPr>
        <w:tblW w:w="6655" w:type="dxa"/>
        <w:shd w:val="clear" w:color="auto" w:fill="FFFFFF"/>
        <w:tblCellMar>
          <w:left w:w="0" w:type="dxa"/>
          <w:right w:w="0" w:type="dxa"/>
        </w:tblCellMar>
        <w:tblLook w:val="04A0" w:firstRow="1" w:lastRow="0" w:firstColumn="1" w:lastColumn="0" w:noHBand="0" w:noVBand="1"/>
      </w:tblPr>
      <w:tblGrid>
        <w:gridCol w:w="2402"/>
        <w:gridCol w:w="4253"/>
      </w:tblGrid>
      <w:tr w:rsidR="00262E38" w14:paraId="24877EC0" w14:textId="77777777" w:rsidTr="00262E38">
        <w:tc>
          <w:tcPr>
            <w:tcW w:w="2402" w:type="dxa"/>
            <w:shd w:val="clear" w:color="auto" w:fill="FFFFFF"/>
            <w:tcMar>
              <w:top w:w="45" w:type="dxa"/>
              <w:left w:w="75" w:type="dxa"/>
              <w:bottom w:w="45" w:type="dxa"/>
              <w:right w:w="75" w:type="dxa"/>
            </w:tcMar>
            <w:hideMark/>
          </w:tcPr>
          <w:p w14:paraId="1360D542" w14:textId="1D55CAB6" w:rsidR="00262E38" w:rsidRDefault="00262E38">
            <w:pPr>
              <w:spacing w:before="240" w:line="252" w:lineRule="auto"/>
              <w:jc w:val="center"/>
              <w:rPr>
                <w:rFonts w:ascii="Open Sans" w:hAnsi="Open Sans" w:cs="Open Sans"/>
                <w:color w:val="383838"/>
                <w:spacing w:val="6"/>
                <w:sz w:val="20"/>
                <w:szCs w:val="20"/>
                <w:lang w:eastAsia="lv-LV"/>
              </w:rPr>
            </w:pPr>
            <w:r>
              <w:rPr>
                <w:rFonts w:ascii="Open Sans" w:hAnsi="Open Sans" w:cs="Open Sans"/>
                <w:noProof/>
                <w:color w:val="383838"/>
                <w:spacing w:val="6"/>
                <w:sz w:val="20"/>
                <w:szCs w:val="20"/>
                <w:lang w:eastAsia="lv-LV"/>
              </w:rPr>
              <w:drawing>
                <wp:inline distT="0" distB="0" distL="0" distR="0" wp14:anchorId="2746B5C4" wp14:editId="7EE4747D">
                  <wp:extent cx="1228725" cy="9334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228725" cy="933450"/>
                          </a:xfrm>
                          <a:prstGeom prst="rect">
                            <a:avLst/>
                          </a:prstGeom>
                          <a:noFill/>
                          <a:ln>
                            <a:noFill/>
                          </a:ln>
                        </pic:spPr>
                      </pic:pic>
                    </a:graphicData>
                  </a:graphic>
                </wp:inline>
              </w:drawing>
            </w:r>
          </w:p>
        </w:tc>
        <w:tc>
          <w:tcPr>
            <w:tcW w:w="4253" w:type="dxa"/>
            <w:shd w:val="clear" w:color="auto" w:fill="FFFFFF"/>
            <w:tcMar>
              <w:top w:w="45" w:type="dxa"/>
              <w:left w:w="75" w:type="dxa"/>
              <w:bottom w:w="45" w:type="dxa"/>
              <w:right w:w="75" w:type="dxa"/>
            </w:tcMar>
          </w:tcPr>
          <w:p w14:paraId="04E1F828" w14:textId="77777777" w:rsidR="00262E38" w:rsidRDefault="00262E38">
            <w:pPr>
              <w:spacing w:line="252" w:lineRule="auto"/>
              <w:rPr>
                <w:rFonts w:ascii="Verdana" w:hAnsi="Verdana"/>
                <w:b/>
                <w:bCs/>
                <w:color w:val="00859B"/>
                <w:sz w:val="18"/>
                <w:szCs w:val="18"/>
                <w:lang w:eastAsia="lv-LV"/>
              </w:rPr>
            </w:pPr>
          </w:p>
          <w:p w14:paraId="6BF9CC54" w14:textId="77777777" w:rsidR="00262E38" w:rsidRDefault="00262E38">
            <w:pPr>
              <w:spacing w:line="252" w:lineRule="auto"/>
              <w:rPr>
                <w:rFonts w:ascii="Verdana" w:hAnsi="Verdana"/>
                <w:b/>
                <w:bCs/>
                <w:color w:val="00859B"/>
                <w:sz w:val="18"/>
                <w:szCs w:val="18"/>
                <w:lang w:eastAsia="lv-LV"/>
              </w:rPr>
            </w:pPr>
          </w:p>
          <w:p w14:paraId="69209C63" w14:textId="77777777" w:rsidR="00262E38" w:rsidRDefault="00262E38">
            <w:pPr>
              <w:spacing w:line="252" w:lineRule="auto"/>
              <w:rPr>
                <w:rFonts w:ascii="Verdana" w:hAnsi="Verdana"/>
                <w:b/>
                <w:bCs/>
                <w:color w:val="00859B"/>
                <w:sz w:val="18"/>
                <w:szCs w:val="18"/>
                <w:lang w:eastAsia="lv-LV"/>
              </w:rPr>
            </w:pPr>
            <w:r>
              <w:rPr>
                <w:rFonts w:ascii="Verdana" w:hAnsi="Verdana"/>
                <w:b/>
                <w:bCs/>
                <w:color w:val="00859B"/>
                <w:sz w:val="18"/>
                <w:szCs w:val="18"/>
                <w:lang w:eastAsia="lv-LV"/>
              </w:rPr>
              <w:t>EKONOMIKAS MINISTRIJA</w:t>
            </w:r>
          </w:p>
          <w:p w14:paraId="231C7522" w14:textId="77777777" w:rsidR="00262E38" w:rsidRDefault="00262E38">
            <w:pPr>
              <w:spacing w:line="252" w:lineRule="auto"/>
              <w:rPr>
                <w:rFonts w:ascii="Verdana" w:hAnsi="Verdana"/>
                <w:b/>
                <w:bCs/>
                <w:color w:val="00859B"/>
                <w:sz w:val="18"/>
                <w:szCs w:val="18"/>
                <w:lang w:eastAsia="lv-LV"/>
              </w:rPr>
            </w:pPr>
          </w:p>
          <w:p w14:paraId="15C653CC" w14:textId="77777777" w:rsidR="00262E38" w:rsidRDefault="00262E38">
            <w:pPr>
              <w:spacing w:line="252" w:lineRule="auto"/>
              <w:rPr>
                <w:rFonts w:ascii="Verdana" w:hAnsi="Verdana"/>
                <w:sz w:val="18"/>
                <w:szCs w:val="18"/>
                <w:lang w:eastAsia="lv-LV"/>
              </w:rPr>
            </w:pPr>
            <w:r>
              <w:rPr>
                <w:rFonts w:ascii="Verdana" w:hAnsi="Verdana"/>
                <w:color w:val="000000"/>
                <w:sz w:val="18"/>
                <w:szCs w:val="18"/>
                <w:lang w:eastAsia="lv-LV"/>
              </w:rPr>
              <w:t>Brīvības iela 55, Rīga, LV-1519, Latvija</w:t>
            </w:r>
          </w:p>
          <w:p w14:paraId="748986A8" w14:textId="77777777" w:rsidR="00262E38" w:rsidRDefault="00262E38">
            <w:pPr>
              <w:spacing w:line="252" w:lineRule="auto"/>
              <w:rPr>
                <w:rFonts w:ascii="Verdana" w:hAnsi="Verdana"/>
                <w:sz w:val="18"/>
                <w:szCs w:val="18"/>
                <w:lang w:eastAsia="lv-LV"/>
              </w:rPr>
            </w:pPr>
            <w:r>
              <w:rPr>
                <w:color w:val="000000"/>
                <w:lang w:eastAsia="lv-LV"/>
              </w:rPr>
              <w:t xml:space="preserve">Tālrunis: </w:t>
            </w:r>
            <w:r>
              <w:rPr>
                <w:rFonts w:ascii="Verdana" w:hAnsi="Verdana"/>
                <w:color w:val="000000"/>
                <w:sz w:val="18"/>
                <w:szCs w:val="18"/>
                <w:lang w:eastAsia="lv-LV"/>
              </w:rPr>
              <w:t>67013100</w:t>
            </w:r>
          </w:p>
          <w:p w14:paraId="5AFFDB28" w14:textId="77777777" w:rsidR="00262E38" w:rsidRDefault="00262E38">
            <w:pPr>
              <w:spacing w:line="252" w:lineRule="auto"/>
              <w:rPr>
                <w:rFonts w:ascii="Verdana" w:hAnsi="Verdana"/>
                <w:sz w:val="18"/>
                <w:szCs w:val="18"/>
                <w:u w:val="single"/>
                <w:lang w:eastAsia="lv-LV"/>
              </w:rPr>
            </w:pPr>
            <w:hyperlink r:id="rId7" w:history="1">
              <w:r>
                <w:rPr>
                  <w:rStyle w:val="Hyperlink"/>
                  <w:rFonts w:ascii="Verdana" w:hAnsi="Verdana"/>
                  <w:color w:val="0000FF"/>
                  <w:sz w:val="18"/>
                  <w:szCs w:val="18"/>
                  <w:lang w:eastAsia="lv-LV"/>
                </w:rPr>
                <w:t>pasts@em.gov.lv</w:t>
              </w:r>
            </w:hyperlink>
            <w:r>
              <w:rPr>
                <w:rFonts w:ascii="Verdana" w:hAnsi="Verdana"/>
                <w:color w:val="000000"/>
                <w:sz w:val="18"/>
                <w:szCs w:val="18"/>
                <w:lang w:eastAsia="lv-LV"/>
              </w:rPr>
              <w:t xml:space="preserve">, </w:t>
            </w:r>
            <w:hyperlink r:id="rId8" w:history="1">
              <w:r>
                <w:rPr>
                  <w:rStyle w:val="Hyperlink"/>
                  <w:rFonts w:ascii="Verdana" w:hAnsi="Verdana"/>
                  <w:sz w:val="18"/>
                  <w:szCs w:val="18"/>
                  <w:lang w:eastAsia="lv-LV"/>
                </w:rPr>
                <w:t>www.em.gov.lv</w:t>
              </w:r>
            </w:hyperlink>
          </w:p>
        </w:tc>
      </w:tr>
    </w:tbl>
    <w:p w14:paraId="7D1650D5" w14:textId="77777777" w:rsidR="00262E38" w:rsidRDefault="00262E38" w:rsidP="00262E38">
      <w:pPr>
        <w:rPr>
          <w:lang w:eastAsia="lv-LV"/>
        </w:rPr>
      </w:pPr>
    </w:p>
    <w:bookmarkEnd w:id="0"/>
    <w:p w14:paraId="5C27E759" w14:textId="77777777" w:rsidR="00262E38" w:rsidRDefault="00262E38" w:rsidP="00262E38"/>
    <w:p w14:paraId="4D76963B" w14:textId="77777777" w:rsidR="00262E38" w:rsidRDefault="00262E38"/>
    <w:sectPr w:rsidR="00262E38" w:rsidSect="00262E38">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355AC2"/>
    <w:multiLevelType w:val="hybridMultilevel"/>
    <w:tmpl w:val="3EAA8E9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 w15:restartNumberingAfterBreak="0">
    <w:nsid w:val="7AD05493"/>
    <w:multiLevelType w:val="hybridMultilevel"/>
    <w:tmpl w:val="B2F2A3B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16cid:durableId="217938573">
    <w:abstractNumId w:val="0"/>
    <w:lvlOverride w:ilvl="0"/>
    <w:lvlOverride w:ilvl="1"/>
    <w:lvlOverride w:ilvl="2"/>
    <w:lvlOverride w:ilvl="3"/>
    <w:lvlOverride w:ilvl="4"/>
    <w:lvlOverride w:ilvl="5"/>
    <w:lvlOverride w:ilvl="6"/>
    <w:lvlOverride w:ilvl="7"/>
    <w:lvlOverride w:ilvl="8"/>
  </w:num>
  <w:num w:numId="2" w16cid:durableId="822163461">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E38"/>
    <w:rsid w:val="00262E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BF443"/>
  <w15:chartTrackingRefBased/>
  <w15:docId w15:val="{28DC6236-17B2-411E-A22C-888868539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2E3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62E38"/>
    <w:rPr>
      <w:color w:val="0563C1"/>
      <w:u w:val="single"/>
    </w:rPr>
  </w:style>
  <w:style w:type="paragraph" w:styleId="ListParagraph">
    <w:name w:val="List Paragraph"/>
    <w:basedOn w:val="Normal"/>
    <w:uiPriority w:val="34"/>
    <w:qFormat/>
    <w:rsid w:val="00262E38"/>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0497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gov.lv/" TargetMode="External"/><Relationship Id="rId3" Type="http://schemas.openxmlformats.org/officeDocument/2006/relationships/styles" Target="styles.xml"/><Relationship Id="rId7" Type="http://schemas.openxmlformats.org/officeDocument/2006/relationships/hyperlink" Target="mailto:pasts@em.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99A58B-81F9-426E-A764-23C87F5B6A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2017</Words>
  <Characters>1151</Characters>
  <Application>Microsoft Office Word</Application>
  <DocSecurity>0</DocSecurity>
  <Lines>9</Lines>
  <Paragraphs>6</Paragraphs>
  <ScaleCrop>false</ScaleCrop>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Helēna Rimša</dc:creator>
  <cp:keywords/>
  <dc:description/>
  <cp:lastModifiedBy>Helēna Rimša</cp:lastModifiedBy>
  <cp:revision>1</cp:revision>
  <dcterms:created xsi:type="dcterms:W3CDTF">2023-02-07T06:56:00Z</dcterms:created>
  <dcterms:modified xsi:type="dcterms:W3CDTF">2023-02-07T06:57:00Z</dcterms:modified>
</cp:coreProperties>
</file>