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Atbalstu speciālās ekonomiskās zonas pārvaldei sniedz tikai darbībām ārpus teritorijas, kurā tiek veikta ostas pamatdarbība, un kas nav saistītas ar investīcijām ostas pamatdarbības infrastruktūrā.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ietvaros atbalstāmās speciālās ekonomiskās zonas (turpmāk - SEZ) ir tikai ostas? Norādām, ka Latvijā pasatāv Rēzeknes SEZ un Latgales SEZ, kuras nav ostas un tajās netiek veikta ostas pamatdarbība. Attiecīgi lūdzam izvērtēt nepieciešamību un lietderību precizēt noteikumu projekta 27. punktu, iekļaujot visas Latvijā pastāvošās SEZ.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ir attiecināmas no projekta iesnieguma iesniegšanas brīža sadarbības iestādē, izņemot šo noteikumu </w:t>
            </w:r>
            <w:r w:rsidR="00000000" w:rsidRPr="00000000" w:rsidDel="00000000">
              <w:rPr>
                <w:rtl w:val="0"/>
              </w:rPr>
              <w:t xml:space="preserve">35.8.1.</w:t>
            </w:r>
            <w:r w:rsidR="00000000" w:rsidRPr="00000000" w:rsidDel="00000000">
              <w:rPr>
                <w:rtl w:val="0"/>
              </w:rPr>
              <w:t xml:space="preserve"> apakšpunktā minētās projekta pamatojošās dokumentācijas sagatavošanas izmaksas un šo noteikumu </w:t>
            </w:r>
            <w:r w:rsidR="00000000" w:rsidRPr="00000000" w:rsidDel="00000000">
              <w:rPr>
                <w:rtl w:val="0"/>
              </w:rPr>
              <w:t xml:space="preserve">35.3.6.</w:t>
            </w:r>
            <w:r w:rsidR="00000000" w:rsidRPr="00000000" w:rsidDel="00000000">
              <w:rPr>
                <w:rtl w:val="0"/>
              </w:rPr>
              <w:t xml:space="preserve"> apakšpunktā minētās zemes iegādes izmaksas, kas ir attiecināmas no 2021. gada 1. janvāra. Būvdarbu līgumu slēdz un ar ieguldījumiem saistītus būvdarbus uzsāk pēc projekta iesnieguma iesniegšanas sadarbības iestādē, kā  arī, lai nodrošinātu Komisijas regulas Nr. 651/2014 6. panta 2. punktā minēto stimulējošās ietekmes prasību.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kāpēc šo noteikumu projekta 35.3.6. apakšpunktā minētās zemes iegādes izmaksas ir attiecināmas no 2021.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atbalstu piešķir jaunām vai atjaunotām iekārtām. Atbalsts nav atkarīgs no ražošanas apjoma;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50.4.apakšpunkts, iespējams, dublē noteikumu projekta 49.6.apakšpunktu.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50.4.apakšpunkts, iespējams, ir pretrunā noteikumu projekta 49.6.apakšpunktam, kas nosaka, ka iegādātajiem aktīviem jābūt jauniem, kas izlēdz iespēju atbalstīt atjaunotu iekārtu iegādi.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nepieciešamību precizēt noteikumu 49.6.un 50.4.apakšpunktus.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projekta iesniedzējs visus plānotos ieņēmumus (arī no projekta ietvaros izbūvētās infrastruktūras pārdošanas, ja tā tiek plānota projekta dzīves cikla laikā) atspoguļo finanšu iztrūkuma aprēķinā;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jēdziena "projekta dzīves cikls"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projekta iesniedzējs visus plānotos ieņēmumus (arī no projekta ietvaros izbūvētās infrastruktūras pārdošanas, ja tā tiek plānota projekta dzīves cikla laikā) atspoguļo finanšu iztrūkuma aprēķinā;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projektā tiek paredzēta iespēja projekta ietvaros izbūvēto infrastruktūru pārdot projekta dzīves cikla laikā un vai šāds regulējums nav pretrunā noteikumu projekta 49.5.punktam. Nepieciešamības gadījumā lūdzam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anotācijas V sadaļas 1. Tabulu norādot visas noteikumu projekta vienības, kurās ieviesti ES tiesību akti.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05.07.2023.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05.07.2023.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