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atsevišķi izdalīt arī vēsturisko piesārņojumu, jo tā ir būtiska nacionālas nozīmes piesārņojuma problēma, sevišķi ar naftas produktiem piesārņota grunts, tostarp vēsturiskais piesārņojums, kuru būtu vērts atsevišķi izdalīt no piesārņoto un potenciāli piesārņoto vietu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14. pantā ietvertā 35.</w:t>
            </w:r>
            <w:r w:rsidR="00000000" w:rsidRPr="00000000" w:rsidDel="00000000">
              <w:rPr>
                <w:vertAlign w:val="superscript"/>
                <w:rtl w:val="0"/>
              </w:rPr>
              <w:t xml:space="preserve">7 </w:t>
            </w:r>
            <w:r w:rsidR="00000000" w:rsidRPr="00000000" w:rsidDel="00000000">
              <w:rPr>
                <w:rtl w:val="0"/>
              </w:rPr>
              <w:t xml:space="preserve">un 35.</w:t>
            </w:r>
            <w:r w:rsidR="00000000" w:rsidRPr="00000000" w:rsidDel="00000000">
              <w:rPr>
                <w:vertAlign w:val="superscript"/>
                <w:rtl w:val="0"/>
              </w:rPr>
              <w:t xml:space="preserve">8</w:t>
            </w:r>
            <w:r w:rsidR="00000000" w:rsidRPr="00000000" w:rsidDel="00000000">
              <w:rPr>
                <w:rtl w:val="0"/>
              </w:rPr>
              <w:t xml:space="preserve"> pantā piedāvāto redakciju vēršam uzmanību uz nepieciešamību nodalīt un vides aizsardzību reglamentējošajos normatīvajos aktos atsevišķi regulēt vēsturiskā piesārņojuma novēršanas procesa organizēšanu (skatīt likumprojekta izziņas 49., 199. un 253. punktu). Ņemot vērā, ka vēsturiskā piesārņojuma gadījumos nav iespējams piemērot vides aizsardzības principu "piesārņotājs maksā" un aizsargāt to personu tiesiskās intereses, kuru īpašumā esošajās teritorijās ir konstatēts vēsturiskais piesārņojums, uzskatām, ka likumprojekta 14. pantā ietvertā 35.</w:t>
            </w:r>
            <w:r w:rsidR="00000000" w:rsidRPr="00000000" w:rsidDel="00000000">
              <w:rPr>
                <w:vertAlign w:val="superscript"/>
                <w:rtl w:val="0"/>
              </w:rPr>
              <w:t xml:space="preserve">8</w:t>
            </w:r>
            <w:r w:rsidR="00000000" w:rsidRPr="00000000" w:rsidDel="00000000">
              <w:rPr>
                <w:rtl w:val="0"/>
              </w:rPr>
              <w:t xml:space="preserve"> panta pirmajā daļā noteiktā prioritārā secība izpētes un sanācijas organizēšanai, kā arī ar izpēti un sanāciju saistīto izdevumu segšanai, nav piemērojama un nav attiecināma uz 4. un 5. punktā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Balaša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3</w:t>
            </w:r>
            <w:r w:rsidR="00000000" w:rsidRPr="00000000" w:rsidDel="00000000">
              <w:rPr>
                <w:rtl w:val="0"/>
              </w:rPr>
              <w:t xml:space="preserve">) vides trokšņa pārvaldības rīcības plāns – pasākumu plāns, kuru izstrādā, balstoties uz vides trokšņa stratēģiskās kartes rezultātiem, lai risinātu ar vides troksni saistītus jautājumus ar mērķi novērst, samazināt vai saglabāt esošo stāvokli, ja vides trokšņa indikatori atbilst normatīvajos aktos noteiktajiem vides trokšņa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ietvertā 1. panta 24.</w:t>
            </w:r>
            <w:r w:rsidR="00000000" w:rsidRPr="00000000" w:rsidDel="00000000">
              <w:rPr>
                <w:vertAlign w:val="superscript"/>
                <w:rtl w:val="0"/>
              </w:rPr>
              <w:t xml:space="preserve">3</w:t>
            </w:r>
            <w:r w:rsidR="00000000" w:rsidRPr="00000000" w:rsidDel="00000000">
              <w:rPr>
                <w:rtl w:val="0"/>
              </w:rPr>
              <w:t xml:space="preserve"> punkta piedāvātā redakcija var radīt iespaidu, ka mērķis ir novērst vai samazināt esošo stāvokli. Tomēr visticamāk, ka mērķis ir novērst trokšņa robežlielumu pārsniegumus.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2. pantā ietverto 1. panta 24.</w:t>
            </w:r>
            <w:r w:rsidR="00000000" w:rsidRPr="00000000" w:rsidDel="00000000">
              <w:rPr>
                <w:vertAlign w:val="superscript"/>
                <w:rtl w:val="0"/>
              </w:rPr>
              <w:t xml:space="preserve">3</w:t>
            </w:r>
            <w:r w:rsidR="00000000" w:rsidRPr="00000000" w:rsidDel="00000000">
              <w:rPr>
                <w:rtl w:val="0"/>
              </w:rPr>
              <w:t xml:space="preserve">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vides trokšņa pārvaldības rīcības plāns – pasākumu plāns, kuru izstrādā, balstoties uz vides trokšņa stratēģiskās kartes rezultātiem, lai risinātu ar vides troksni saistītus jautājumus ar mērķi novērst, samazināt vides trokšņa robežlielumu pārsniegumus vai saglabāt esošo stāvokli, ja vides trokšņa indikatori atbilst normatīvajos aktos noteiktajiem vides trokšņa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4</w:t>
            </w:r>
            <w:r w:rsidR="00000000" w:rsidRPr="00000000" w:rsidDel="00000000">
              <w:rPr>
                <w:rtl w:val="0"/>
              </w:rPr>
              <w:t xml:space="preserve">)  vides trokšņa stratēģiskā karte – karte, kas izstrādāta noteiktai teritorijai, lai novērtētu dažādu vides trokšņa avotu radītā trokšņa kopējo iedarbību vai noteiktu vispārīgu vides trokšņa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stratēģiskās kartes tiek izstrādātas ne tikai noteiktai teritorijai vai aglomerācijai, bet arī konkrētiem objektiem, piemēram, lidostām, kur lidojumu skaits pārsniedz 50 000. Lidostu gadījumā pirms trokšņa stratēģiskās kartes izstrādes nav iespējams precīzi noteikt, kādai teritorijai tā tiks izstrādāta. Turklāt lidostās un citos satiksmes infrastruktūras objektos trokšņa stratēģiskā karte attiecas tikai uz vienu konkrētu trokšņa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2. pantā ietverto 1. panta 24.</w:t>
            </w:r>
            <w:r w:rsidR="00000000" w:rsidRPr="00000000" w:rsidDel="00000000">
              <w:rPr>
                <w:vertAlign w:val="superscript"/>
                <w:rtl w:val="0"/>
              </w:rPr>
              <w:t xml:space="preserve">4</w:t>
            </w:r>
            <w:r w:rsidR="00000000" w:rsidRPr="00000000" w:rsidDel="00000000">
              <w:rPr>
                <w:rtl w:val="0"/>
              </w:rPr>
              <w:t xml:space="preserve">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vides trokšņa stratēģiskā karte – karte, kas izstrādāta noteiktai teritorijai vai trokšņa avotam, lai novērtētu visu vai viena vides trokšņa avota radītā trokšņa kopējo iedarbību vai noteiktu vispārīgu vides trokšņa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likumprojektā vārdus "gaisa kuģis" (attiecīgajā locījumā) ar vārdu "lidaparāts" (attiecīgajā locījumā un skaitlī), ņemot vērā, ka Latvijas Zinātņu akadēmijas Terminoloģijas komisija 2024. gada 9. aprīļa sēdē ir pieņēmusi lēmumu Nr. 110 “Par termina lidaparāts apstiprināšanu latviešu valodā” (Latvijas Vēstnesis, Nr.88, 08.05.2024.), ar kuru ir apstiprināts termina “lidaparāts” lietojums termina “gaisa kuģis”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19.11.2024.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19.11.2024.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