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6. maija noteikumos Nr. 277 "Kārtība, kādā nodrošina prioritāru publisku pakalpojumu sniegšanu komersantiem"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Inovatīvas uzņēmējdarbības un prioritāro projektu atbalsta likuma 3. panta</w:t>
            </w:r>
            <w:r w:rsidR="00000000" w:rsidRPr="00000000" w:rsidDel="00000000">
              <w:rPr>
                <w:rtl w:val="0"/>
              </w:rPr>
              <w:t xml:space="preserve"> ceturto daļu, 5.panta trešās daļas 1.punktu un </w:t>
            </w:r>
            <w:r w:rsidR="00000000" w:rsidRPr="00000000" w:rsidDel="00000000">
              <w:rPr>
                <w:rtl w:val="0"/>
              </w:rPr>
              <w:t xml:space="preserve">Imigrācijas likuma 9. panta</w:t>
            </w:r>
            <w:r w:rsidR="00000000" w:rsidRPr="00000000" w:rsidDel="00000000">
              <w:rPr>
                <w:rtl w:val="0"/>
              </w:rPr>
              <w:t xml:space="preserve"> desmito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izvērstāk Ministru kabineta noteikumu projekta "Grozījumi Ministru kabineta 2025. gada 6. maija noteikumos Nr. 277 "Kārtība, kādā nodrošina prioritāru publisku pakalpojumu sniegšanu komersantiem"" (turpmāk - projekts)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anotācija) pamatot projekta 1. punktā paredzēto tiesību akta izdošanas pamatojuma norādes papildināšanu ar Inovatīvas uzņēmējdarbības un prioritāro projektu atbalsta likuma 5. panta trešās daļas 1. punktu. Vēršam uzmanību, ka šobrīd saskaņošanā ir Ministru kabineta noteikumu projekts “Noteikumi par speciālās regulatīvās vides izveidi un īstenošanu” (24-TA-2027), ar kuru jau ir paredzēts izpildīt Inovatīvas uzņēmējdarbības un prioritāro projektu atbalsta likuma 5. panta trešās daļas 1. punktā paredzēto pilnvarojumu, nosakot speciālās regulatīvās vides izveides nosacījumus un kārtību, tostarp speciālās regulatīvās vides pieteikuma iesniegšanas un izvērtēšanas kārtību. Attiecīgi lūdzam izvērtēt un skaidrot, kādēļ pilnvarojuma izpilde tiek dalīta un kādēļ tas, ka Latvijas Investīciju un attīstības aģentūra ir vienotais kontaktpunkts Eiropas Parlamenta un Eiropas Padomes 2024. gada 13. jūnija regulas 2024/1735  par pasākumu satvara izveidi Eiropas neto nulles emisiju tehnoloģiju izgatavošanas ekosistēmas stiprināšanai un ar ko groza Regulu (ES) 2018/1724 (turpmāk - regula 2023/1735) 33. panta izpratnē, netiek noteikts minētajā Ministru kabineta noteikumu projektā, kura 2. punkts turklāt noteic, ka Latvijas Investīciju un attīstības aģentūra nodrošina vienotu kontaktpunktu speciālās regulatīvās vides pieteikumu iesniedzēju apkalpošanai un informācijas apmaiņai. Turklāt norādām, ka anotācijā minēts, ka projekts papildināts ar atsauci uz regulas (ES) 2024/1735 33. pantu, tomēr projektā attiecīga atsauce uz regulas 33. pantu, kā arī citiem pantiem, kas noteic pienākumu dalībvalstij izraudzīties vienoto kontaktpunktu, nav ietverta. Attiecīgi aicinām precizēt projektu vai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izziņā norādīts, ka Ministru kabineta 2025. gada 6. maija noteikumos Nr. 277 "Kārtība, kādā nodrošina prioritāru publisku pakalpojumu sniegšanu komersantiem" (turpmāk - noteikumi) izmantots termins "vienotais kontaktpunkts" atbilstoši Tieslietu ministrijas 2025. gada 4. novembra iebildumam, tomēr projekta terminoloģija nav mainīta. Aicinām pārskatīt arī citus iebildumus, nodrošinot, ka tie ir korekti ņemti vērā atbilstoši izziņā norādītajam (piemēram, izziņas 25. punktā norādīto par atsauču uz Eiropas Savienības tiesību aktiem noformēšanu).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sniegt izvērstāku pamatojumu projekta 2. punkta atbilstībai likumā noteiktajam pilnvarojumam. Izziņas 5. punktā uz Tieslietu ministrijas 2025. gada 4. novembra lūgumu skaidrot, vai un kā vienotā kontaktpunkta attiecīgo regulu izpratnē nozīmēšana ietilpst noteikumu tvērumā (proti, atbilst likumā paredzētajam pilnvarojumam), sniegta atbilde, ka minētie papildinājumi atbilst likuma tvērumam, tomēr izvērstāks skaidrojums pēc būtības par atbilstību pilnvarojumam nav sniegts. Attiecīgi aicinām papildināt anotāciju. Ja nepieciešams,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 izziņas 5. punktu) arī norādām, ka anotācijā vienotā kontaktpunkta nozīmēšana tiek sasaistīta tieši ar stratēģiskajiem projektiem un to apstiprināšanu, tomēr atgādinām, ka gan projekta 2. punkta redakcija, gan arī regulas attiecīgie panti nesašaurina vienotā kontaktpunkta nozīmēšanu tieši un tikai uz stratēģisko projektu, bet arī citu regulā minēto projektu koordinēšanu. Piemēram, regulas 2024/1735 6. panta 1. punkts paredz, ka: "</w:t>
            </w:r>
            <w:r w:rsidR="00000000" w:rsidRPr="00000000" w:rsidDel="00000000">
              <w:rPr>
                <w:i w:val="1"/>
                <w:rtl w:val="0"/>
              </w:rPr>
              <w:t xml:space="preserve">Līdz 2024.</w:t>
            </w:r>
            <w:r w:rsidR="00000000" w:rsidRPr="00000000" w:rsidDel="00000000">
              <w:rPr>
                <w:rtl w:val="0"/>
              </w:rPr>
              <w:t xml:space="preserve"> </w:t>
            </w:r>
            <w:r w:rsidR="00000000" w:rsidRPr="00000000" w:rsidDel="00000000">
              <w:rPr>
                <w:i w:val="1"/>
                <w:rtl w:val="0"/>
              </w:rPr>
              <w:t xml:space="preserve">gada 30.</w:t>
            </w:r>
            <w:r w:rsidR="00000000" w:rsidRPr="00000000" w:rsidDel="00000000">
              <w:rPr>
                <w:rtl w:val="0"/>
              </w:rPr>
              <w:t xml:space="preserve"> </w:t>
            </w:r>
            <w:r w:rsidR="00000000" w:rsidRPr="00000000" w:rsidDel="00000000">
              <w:rPr>
                <w:i w:val="1"/>
                <w:rtl w:val="0"/>
              </w:rPr>
              <w:t xml:space="preserve">decembrim dalībvalstis izveido vai izraugās vienu vai vairākas iestādes par vienotajiem kontaktpunktiem attiecīgajos administratīvajos līmeņos. Katrs vienotais kontaktpunkts ir atbildīgs par atļauju piešķiršanas procesa atvieglošanu un koordinēšanu </w:t>
            </w:r>
            <w:r w:rsidR="00000000" w:rsidRPr="00000000" w:rsidDel="00000000">
              <w:rPr>
                <w:i w:val="1"/>
                <w:u w:val="single"/>
                <w:rtl w:val="0"/>
              </w:rPr>
              <w:t xml:space="preserve">neto nulles emisiju tehnoloģiju izgatavošanas projektiem, </w:t>
            </w:r>
            <w:r w:rsidR="00000000" w:rsidRPr="00000000" w:rsidDel="00000000">
              <w:rPr>
                <w:b w:val="1"/>
                <w:i w:val="1"/>
                <w:u w:val="single"/>
                <w:rtl w:val="0"/>
              </w:rPr>
              <w:t xml:space="preserve">tostarp</w:t>
            </w:r>
            <w:r w:rsidR="00000000" w:rsidRPr="00000000" w:rsidDel="00000000">
              <w:rPr>
                <w:i w:val="1"/>
                <w:u w:val="single"/>
                <w:rtl w:val="0"/>
              </w:rPr>
              <w:t xml:space="preserve"> stratēģiskiem neto nulles emisiju projektiem</w:t>
            </w:r>
            <w:r w:rsidR="00000000" w:rsidRPr="00000000" w:rsidDel="00000000">
              <w:rPr>
                <w:i w:val="1"/>
                <w:rtl w:val="0"/>
              </w:rPr>
              <w:t xml:space="preserve">, un informācijas sniegšanu par administratīvo procesu racionalizēšanu saskaņā ar 7.</w:t>
            </w:r>
            <w:r w:rsidR="00000000" w:rsidRPr="00000000" w:rsidDel="00000000">
              <w:rPr>
                <w:rtl w:val="0"/>
              </w:rPr>
              <w:t xml:space="preserve"> </w:t>
            </w:r>
            <w:r w:rsidR="00000000" w:rsidRPr="00000000" w:rsidDel="00000000">
              <w:rPr>
                <w:i w:val="1"/>
                <w:rtl w:val="0"/>
              </w:rPr>
              <w:t xml:space="preserve">pantu, tostarp informācijas sniegšanu par to, kad pieteikums tiek uzskatīts par pilnīgu saskaņā ar 9.</w:t>
            </w:r>
            <w:r w:rsidR="00000000" w:rsidRPr="00000000" w:rsidDel="00000000">
              <w:rPr>
                <w:rtl w:val="0"/>
              </w:rPr>
              <w:t xml:space="preserve"> </w:t>
            </w:r>
            <w:r w:rsidR="00000000" w:rsidRPr="00000000" w:rsidDel="00000000">
              <w:rPr>
                <w:i w:val="1"/>
                <w:rtl w:val="0"/>
              </w:rPr>
              <w:t xml:space="preserve">panta 10.</w:t>
            </w:r>
            <w:r w:rsidR="00000000" w:rsidRPr="00000000" w:rsidDel="00000000">
              <w:rPr>
                <w:rtl w:val="0"/>
              </w:rPr>
              <w:t xml:space="preserve"> </w:t>
            </w:r>
            <w:r w:rsidR="00000000" w:rsidRPr="00000000" w:rsidDel="00000000">
              <w:rPr>
                <w:i w:val="1"/>
                <w:rtl w:val="0"/>
              </w:rPr>
              <w:t xml:space="preserve">punktu.</w:t>
            </w:r>
            <w:r w:rsidR="00000000" w:rsidRPr="00000000" w:rsidDel="00000000">
              <w:rPr>
                <w:rtl w:val="0"/>
              </w:rPr>
              <w:t xml:space="preserve">" Attiecīgi lūdzam precizēt anotāciju, pamatojot projekta 2. punktu kopumā, ne tikai attiecībā uz stratēģiskajiem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apakšsadaļā ir norādīts, ka projekts stāsies spēkā 2026. gada 1. janvārī, bet projekts neparedz noteikumu spēkā stāšanās termiņu 2026. gada 1. janvārī. Ievērojot minēto, lūdzam precizēt anotācijas 1.2. apakšsadaļā ietverto informāciju vai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5.4. apakšsadaļas 1. tabulu precizēt un papildināt ar projektā ieviestajām regulu vienībām. Piemēram, bet ne tikai, noteikumu 3.</w:t>
            </w:r>
            <w:r w:rsidR="00000000" w:rsidRPr="00000000" w:rsidDel="00000000">
              <w:rPr>
                <w:vertAlign w:val="superscript"/>
                <w:rtl w:val="0"/>
              </w:rPr>
              <w:t xml:space="preserve">1</w:t>
            </w:r>
            <w:r w:rsidR="00000000" w:rsidRPr="00000000" w:rsidDel="00000000">
              <w:rPr>
                <w:rtl w:val="0"/>
              </w:rPr>
              <w:t xml:space="preserve">2. apakšpunktā (projekta 2. punkts) ieviests regulas 2024/1735 13. panta 1. punkts. Vienlaikus norādām, ka minētajā noteikumu vienībā pat nav atsauce uz Eiropas Parlamenta un Padomes 2024. gada 11. aprīļa Regulu (ES) 2024/1252, ar ko izveido satvaru tam, kā nodrošināt drošu un ilgtspējīgu apgādi ar kritiski svarīgām izejvielām, un groza Regulas (ES) Nr. 168/2013, (ES) 2018/858, (ES) 2018/1724 un (ES) 2019/1020, līdz ar to lūdzam precizēt tabulu, jo minētās regulas vienības noteikumu 3.</w:t>
            </w:r>
            <w:r w:rsidR="00000000" w:rsidRPr="00000000" w:rsidDel="00000000">
              <w:rPr>
                <w:vertAlign w:val="superscript"/>
                <w:rtl w:val="0"/>
              </w:rPr>
              <w:t xml:space="preserve">1 </w:t>
            </w:r>
            <w:r w:rsidR="00000000" w:rsidRPr="00000000" w:rsidDel="00000000">
              <w:rPr>
                <w:rtl w:val="0"/>
              </w:rPr>
              <w:t xml:space="preserve">2. apakšpunktā nav ieviestas. Projekta vienībās arī pirmšķietami ir ieviests regulas 2024/1735 15. panta vienības, attiecīgi aicinām norādīt tabulā informāciju par to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sniegt izvērstāku informāciju par regulu ieviešanu kopumā un atbildīgajām iestādēm par to ieviešanu vai arī norādīt, kur attiecīgā informācija ir pieejama.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Inovatīvas uzņēmējdarbības un prioritāro projektu atbalsta likuma 3. panta</w:t>
            </w:r>
            <w:r w:rsidR="00000000" w:rsidRPr="00000000" w:rsidDel="00000000">
              <w:rPr>
                <w:rtl w:val="0"/>
              </w:rPr>
              <w:t xml:space="preserve"> ceturto daļu, 5.panta trešās daļas 1.punktu un </w:t>
            </w:r>
            <w:r w:rsidR="00000000" w:rsidRPr="00000000" w:rsidDel="00000000">
              <w:rPr>
                <w:rtl w:val="0"/>
              </w:rPr>
              <w:t xml:space="preserve">Imigrācijas likuma 9. panta</w:t>
            </w:r>
            <w:r w:rsidR="00000000" w:rsidRPr="00000000" w:rsidDel="00000000">
              <w:rPr>
                <w:rtl w:val="0"/>
              </w:rPr>
              <w:t xml:space="preserve"> desmito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jaunu grozījumu noteikumos, kas paredz papildināt tiesību akta izdošanas pamatojumu ar atsauci uz Inovatīvas uzņēmējdarbības un prioritāro projektu atbalsta likuma 5. panta trešās daļas 1. punktu, bet projekts neparedz attiecīgu grozījumu noteikumu 1. punktā. Līdz ar to, ja projekts atbilst Inovatīvas uzņēmējdarbības un prioritāro projektu atbalsta likuma 5. panta trešās daļas 1. punktā noteiktajam pilnvarojumam Ministru kabinetam, lūdzam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26.11.2025. 17.48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26.11.2025. 17.48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Atzinumi_25-TA-2347.docx</dc:title>
</cp:coreProperties>
</file>

<file path=docProps/custom.xml><?xml version="1.0" encoding="utf-8"?>
<Properties xmlns="http://schemas.openxmlformats.org/officeDocument/2006/custom-properties" xmlns:vt="http://schemas.openxmlformats.org/officeDocument/2006/docPropsVTypes"/>
</file>