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Maksimālais attiecināmais Taisnīgas pārkārtošanās fonda finansējuma apmērs nepārsniedz 85 procentus no projekta kopējā attiecināmā finansējuma, vienlaikus ievērojot šo noteikumu </w:t>
            </w:r>
            <w:r w:rsidR="00000000" w:rsidRPr="00000000" w:rsidDel="00000000">
              <w:rPr>
                <w:rtl w:val="0"/>
              </w:rPr>
              <w:t xml:space="preserve">42. </w:t>
            </w:r>
            <w:r w:rsidR="00000000" w:rsidRPr="00000000" w:rsidDel="00000000">
              <w:rPr>
                <w:rtl w:val="0"/>
              </w:rPr>
              <w:t xml:space="preserve">punkta</w:t>
            </w:r>
            <w:r w:rsidR="00000000" w:rsidRPr="00000000" w:rsidDel="00000000">
              <w:rPr>
                <w:rtl w:val="0"/>
              </w:rPr>
              <w:t xml:space="preserve"> nosacījumus. Valsts budžeta līdzfinansējums nepārsniedz 15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7.punktā noteikto, ka valsts budžeta līdzfinansējums nepārsniedz 3 405 000 euro, lūdzam precizēt noteikumu projekta 9.punktu, jo valsts budžeta līdzfinansējums neveido 15% apmēru no noteikumu projekta 7.punktā noteiktā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ietvaros tiek sniegts atbalsts gan projekta iesniedzēja deleģēto valsts pārvaldes uzdevumu īstenošanai, gan saimnieciskajai darbībai, ietverot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esošajai redakcijai pastāv iespēja, ka vienas teritorijas ietvaros varētu tikt īstenotas darbības gan deleģēto valsts pārvaldes uzdevumu īstenošanai, gan saimnieciskajai darbībai, kā rezultātā varētu iesniegt vienu kombinētu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noteikt, ka viena projekta iesnieguma ietvaros nav iespējams kombinēt MK noteikumu 14.1. un 14.2. apakšpunkta darbības, t.i., par katru iesniedzams atsevišķs projekta iesniegums, nodalot darbības un atbalstu par 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Mikus Spalviņš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mežsaimnieciskas darbības, kas nav saistītas ar šo noteikumu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minēto darbību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atbalstāmajām darbībām ar AS “Latvijas valsts meži” (turpmāk – LVM) saimniecisko darbību saistītajos projektos nav izslēgts atbalsts apmežošanas pasākumiem, kas saistīti ar mežsaimniecības nozari, juridiskai noteiktībai lūdzam anotācijā skaidrot, kādēļ tiek izvēlēts atbalstu sniegt ar Komisijas regulas Nr. 651/2014 45. pantu, nevis ar saskaņā ar Komisijas 2022. gada 14. decembra Regulu Nr.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 novērš interešu konflikta risku saskaņā ar Eiropas Parlamenta un Padomes 2024. gada 23. septembra Regulu (ES, Euratom) 2024/2509 par finanšu noteikumiem, ko piemēro Savienības vispārējam budžetam (pārstrādātā redakcija) 61. panta prasībām, un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35.4.apakšpunktu,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Mežale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 nodrošina atsevišķu grāmatvedības uzskaiti par finansējuma izlietojumu projektā, nodalot tā ietvaros veiktās darbības no citas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iekļauta prasība nodrošināt atsevišķu grāmatvedības uzskaiti par finansējuma saņēmēja finansējuma izlietojumu projektā, nodalot ar saimniecisko darbību nesaistītās veiktās darbības no saimnieciskās darbības, lūdzam atbilstoši precizēt noteikumu projekta 35.8. apakšpunktu, tai skaitā, svītrojot vārdu "citas".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tiek pārkāpti regulas Nr. 651/2014 nosacījumi,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tiek papildināti ar nosacījumiem tad, kad tiks īstenoti ar saimniecisku darbību nesaistīti projekti, t.sk. tiek iekļauts noteikumu projekta 15.4.apakšpunkts, lūdzam noteikumus papildināt ar nelikumīga komercdarbības atbalsta atgūšanas normu gadījumos, ja tiks secināts, ka projekta daļā, kurā netiek sniegts komercdarbības atbalsts, ieņēmumi projekta dzīves cikla laikā pārsniegs 50 procentus no infrastruktūras un atjaunoto teritoriju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plašāku skaidrojumu par to vai iespējami un ja tā, kā plānots novērst dubultā finansējuma riskus ĪADT, ņemot vērā, ka līdzīgas atbalstāmās darbības var tikt plānotas gan 6.1.1.7.pasākumā “Eiropas Savienības nozīmes biotopu vai purvu ekosistēmu atjaunošana”, gan arī 6.1.1.1. pasākuma “Atteikšanās no kūdras izmantošanas enerģētikā” 3.atlases kārtas ietvaros, un abos pasākumos finansējuma saņēmējs ir LVM.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kāpēc pasākuma īstenošanai jāparedz valsts budžeta līdzfinansējums, ievērojot, ka pasākuma īstenotājs saskaņā ar noteikumu projekta 11.punktu ir 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29.05.2025.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29.05.2025.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Atzinumi_25-TA-832.docx</dc:title>
</cp:coreProperties>
</file>

<file path=docProps/custom.xml><?xml version="1.0" encoding="utf-8"?>
<Properties xmlns="http://schemas.openxmlformats.org/officeDocument/2006/custom-properties" xmlns:vt="http://schemas.openxmlformats.org/officeDocument/2006/docPropsVTypes"/>
</file>