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19.1.</w:t>
            </w:r>
            <w:r w:rsidR="00000000" w:rsidRPr="00000000" w:rsidDel="00000000">
              <w:rPr>
                <w:rtl w:val="0"/>
              </w:rPr>
              <w:t xml:space="preserve"> un </w:t>
            </w:r>
            <w:r w:rsidR="00000000" w:rsidRPr="00000000" w:rsidDel="00000000">
              <w:rPr>
                <w:rtl w:val="0"/>
              </w:rPr>
              <w:t xml:space="preserve">19.2.</w:t>
            </w:r>
            <w:r w:rsidR="00000000" w:rsidRPr="00000000" w:rsidDel="00000000">
              <w:rPr>
                <w:rtl w:val="0"/>
              </w:rPr>
              <w:t xml:space="preserve"> apakšpunktā minētajām darbībām finansējuma saņēmējam finansējums nepārsniedz 20 % no šo noteikumu </w:t>
            </w:r>
            <w:r w:rsidR="00000000" w:rsidRPr="00000000" w:rsidDel="00000000">
              <w:rPr>
                <w:rtl w:val="0"/>
              </w:rPr>
              <w:t xml:space="preserve">5.</w:t>
            </w:r>
            <w:r w:rsidR="00000000" w:rsidRPr="00000000" w:rsidDel="00000000">
              <w:rPr>
                <w:rtl w:val="0"/>
              </w:rPr>
              <w:t xml:space="preserve"> punktā minētā kopējā pasākuma īstenošanai minētā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 punktu norādot, ka šo noteikumu 19.1. un 19.2. apakšpunktā minētajām darbībām finansējums nepārsniedz 20 % no šo noteikumu 5. punktā minētā kopējā pasākuma īstenošanai pieejamā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19.1.</w:t>
            </w:r>
            <w:r w:rsidR="00000000" w:rsidRPr="00000000" w:rsidDel="00000000">
              <w:rPr>
                <w:rtl w:val="0"/>
              </w:rPr>
              <w:t xml:space="preserve"> un </w:t>
            </w:r>
            <w:r w:rsidR="00000000" w:rsidRPr="00000000" w:rsidDel="00000000">
              <w:rPr>
                <w:rtl w:val="0"/>
              </w:rPr>
              <w:t xml:space="preserve">19.2.</w:t>
            </w:r>
            <w:r w:rsidR="00000000" w:rsidRPr="00000000" w:rsidDel="00000000">
              <w:rPr>
                <w:rtl w:val="0"/>
              </w:rPr>
              <w:t xml:space="preserve"> apakšpunktā minētajām darbībām finansējuma saņēmējam finansējums nepārsniedz 20 % no šo noteikumu </w:t>
            </w:r>
            <w:r w:rsidR="00000000" w:rsidRPr="00000000" w:rsidDel="00000000">
              <w:rPr>
                <w:rtl w:val="0"/>
              </w:rPr>
              <w:t xml:space="preserve">5.</w:t>
            </w:r>
            <w:r w:rsidR="00000000" w:rsidRPr="00000000" w:rsidDel="00000000">
              <w:rPr>
                <w:rtl w:val="0"/>
              </w:rPr>
              <w:t xml:space="preserve"> punktā minētā kopējā pasākuma īstenošanai minētā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vienoto likmi līdz 20 % personāla vadības un īstenošanas izmaksām, jānorāda atsauce uz konkrētu Regulas Nr.2021/1060 pantu (55.panta 1.punkts). Vienlaikus, paredzot piemērot šo vienotās likmes veidu un apjomu SAM ietvaros, jāsaskaņo šī pieeja ar vadošo iestādi MK noteikumu par SAM īstenošanu izstrādes procesā, bet konkrētā izmaksu vienotā likme, pēc saskaņošanas ar vadošo iestādi, tiek noteikta MK noteikumos par SAM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redakcija ir jāsalāgo ar noteikumu projekta 21.1. un 21.2. apakšpunktiem, jo, piemērojot vienoto likmi līdz 20%, nav jāizstrādā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tiks piemērota vienotā likme līdz 20%, tad lūdzam šo punktu pārcelt uz sadaļu “III. Projekta īstenošanas nodrošināšana”, jo tajā ietverta informācija par attiecināmības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vēršam uzmanību, ka vienotā likme līdz 20 % personāla vadības un īstenošanas izmaksām rēķināma no pārējām tiešajām attiecinājām izmaksām, kas nav personāla vadības un īstenošanas personāla atlīdzības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projektu iesniegumus tikai par šo noteikumu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w:t>
            </w:r>
            <w:r w:rsidR="00000000" w:rsidRPr="00000000" w:rsidDel="00000000">
              <w:rPr>
                <w:rtl w:val="0"/>
              </w:rPr>
              <w:t xml:space="preserve"> un </w:t>
            </w:r>
            <w:r w:rsidR="00000000" w:rsidRPr="00000000" w:rsidDel="00000000">
              <w:rPr>
                <w:rtl w:val="0"/>
              </w:rPr>
              <w:t xml:space="preserve">VI</w:t>
            </w:r>
            <w:r w:rsidR="00000000" w:rsidRPr="00000000" w:rsidDel="00000000">
              <w:rPr>
                <w:rtl w:val="0"/>
              </w:rPr>
              <w:t xml:space="preserve"> nodaļā minētajām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noteikumu projekta III sadaļa ietver finansējuma saņēmēja atbalstāmās darbībās, projektu iesniegumos būtu jāparedz arī tās, līdz ar to lūdzam skaidrot III sadaļas dzēšanu no 14. punkta vai arī veikt atbilstošus precizējumus. Lūdzam šo iebildumu skatīt kontekstā ar izteikto iebildumu pie noteikumu projekta III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atbalstāmo darbību un attiecināmo izmaksu strukturēšanu atbilstoši katrai aktivitātei. Lūdzam katrai aktivitātei atbilstošā sadaļā (IV. Inovācijas motivācijas atbalsta nodrošināšana, V. Biznesa inkubācijas atbalsta nodrošināšana, VI. Eksporta atbalsta nodrošināšana) ietvert </w:t>
            </w:r>
            <w:r w:rsidR="00000000" w:rsidRPr="00000000" w:rsidDel="00000000">
              <w:rPr>
                <w:b w:val="1"/>
                <w:rtl w:val="0"/>
              </w:rPr>
              <w:t xml:space="preserve">konkrētai aktivitātei</w:t>
            </w:r>
            <w:r w:rsidR="00000000" w:rsidRPr="00000000" w:rsidDel="00000000">
              <w:rPr>
                <w:rtl w:val="0"/>
              </w:rPr>
              <w:t xml:space="preserve"> atbalstāmo darbību un attiecināmo izmaksu uzskaitījumu finansējuma saņēmējam un atbalstāmo darbību un attiecināmo izmaksu uzskaitījumu gala labuma 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norādīto no projekta darbību "Projekta īstenošanas nodrošināšana", jo jebkura projekta darbība ir projekta īstenošana, līdz ar to nav izprotams, ko ietver darbība "īstenošanas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godalgu un naudas balvas piešķiršana biznesa ideju konkursu godalgoto vietu ieguvējiem atbilstoši konkursa nolikumam;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apakšpunkta darbība attiecināma tikai uz 15.1. apakšpunkta noteikto pasākumu.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sadarbības nodrošināšana ar organizācijām un institūcijām, kas nepieciešama pasākuma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apakšpunkta darbība attiecināma tikai uz 15.1. un 15.2. apakšpunkta noteikto pasākumu.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pasākumi jaunu partnerību un jaunu sadarbības projektu uzsākšanai un veicināšanai.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anotācijā, vai noteikumu projekta 19.12.apakšpunktā minētās atbalstāmās darbības ir LIAA funkcija, kas LIAA ir noteikta, lai īstenotu pasākumus saskaņā ar valsts atbalsta programmām un nodrošinātu Eiropas Savienības fondu un citu ārvalstu finanšu instrumentu līdzfinansēto aktivitāšu administrēšanu. Ja gadījumā attiecīgās atbalstāmās darbības nav LIAA funkcija, bet attiecas uz atbalsta pretendenta darbību, lūdzam papildināt noteikumu projekta 63. un 66. punktu, uzskaitot arī šo noteikumu projekta punktu, kurā ir noteiktas attiecināmās izmaksas gala labuma guvējam, kurām atbalstu sniedz saskaņā ar Komisijas regulu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atlīdzības izmaksas, piemaksa par diplomātisko rangu un normatīvajos aktos par diplomātisko un konsulāro dienestu noteiktie pabalsti un kompensācijas (izņemot prēmiju un naudas balvu);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iepriekš sniegtos skaidrojumus, atkārtoti lūdzam skaidrot, iemeslus vienkāršoto izmaksu nepiemērošanai atlīdzības izmaksām, piemēram, izstrādājot vienības izmaksu standarta likmi, kas aprēķināta balstoties uz atbilstošiem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kancelejas preču izmaksas, tai skaitā informācijas nesēji un reprezentācijas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nepastāv izmaksu pārklāšanās risks, ņemot vērā noteikumu projektā norādīto, ka netiešās izmaksas ir izmantojamas visu 19.punktā minēto darbību nodrošināšanai un vienlaikus noteikumu projekta 22.3. apakšpunkts paredz, ka 19.3. apakšpunktā noteikto darbību īstenošanai ir attiecināmas kancelejas preces, t.sk. informācijas nesēji, kas atbilstoši vadošās iestādes vadlīnijās Nr. 1.1 "Vadlīnijas par vienkāršoto izmaksu izmantošanas iespējām un to piemērošana Eiropas Savienības kohēzijas politikas programmas 2021.–2027.gadam ietvaros" 30. punktā noteiktajam, ir sedzamas kā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lai šos riskus izslēgtu.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25.13. biznesa inkubatoru tīkla izveides un uzturēšanas izmaksas (piemēram, telpu noma un komunālie maksājumi, gala labuma guvēju kopstrādes telpu un darba vietu aprīkojuma izmaksas, tai skaitā darba vietas pielāgošanai personai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25.13.apakšpunktā norādītās attiecināmās izmaksas, kas izriet no 19.5.apakšpunkta, neatbilst 19.5. apakšpunktā norādītajai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izstrādā kārtību (metodiku), kādā identificē un nosaka pasākuma mērķa grupas, kas kvalificējas kā saimnieciskās darbības veicējs un kā komercdarbības atbalsta saņēmējs,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138.punktā. Ņemot vērā šīs aktivitātes mērķa grupu, kas ir komersanti un fiziskas personas, kas veic vai gatavojas veikt saimniecisko darbību, (proti gan juridiskas personas ir saimnieciskās darbības veicēji, gan fiziskas personas arī ir saimnieciskās darbības veicēji) neredzam pamatojumu paredzēt šādu vērtēšanu. Lūdzam anotācijā skaidrot, kādos gadījumos gala labuma guvējs varētu nebūt saimnieciskās darbības veicējs, līdzīgu skaidrojumu lūdzam iekļaut anotācijā arī par noteikumu projekta 47.punktu. Alternatīvi lūdzam dzēst no noteikumu projekta 39. un 47.punktu.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izstrādā kārtību (metodiku), kādā identificē un nosaka pasākuma mērķa grupas, kas kvalificējas kā saimnieciskās darbības veicējs un kā komercdarbības atbalsta saņēmējs,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39.punkta redakcijas izriet, ka finansējuma saņēmējam ir pienākums izstrādāt kārtību (metodiku), kādā identificē un nosaka pasākuma mērķa grupas, tajā skaitā kvalificējot saimnieciskās darbības veicējus. Atkārtoti norādām, ka termina “saimnieciskās darbības veicējs” tvērums izriet no normatīvā regulējuma, un šim terminam ir noteikta nozīme. Metodikā nevar skaidrot terminu tādā veidā, kas nav atbilstošs normatīvajos aktos noteiktajam ietvaram, nosakot savus kritērijus tam, lai noteiktu, kas atbilst saimnieciskās darbības veicēja terminam un kas nē. Finansējuma saņēmējs ir tiesīgs izstrādāt kārtību, nosakot saņēmēju loku (piemēram, saimnieciskās darbības veicēju), kas kvalificējas konkrētā komercdarbības atbalsta saņemšanai, taču tas nevar definēt “saimnieciskās darbības veicēja” terminu (kuri subjekti tam kvalificējas vai nekvalificējas) savādāk, kā tas izriet no ārējā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atbilstoši iepriekšējam iebildumam ir papildināta noteikumu projekta anotācija, plašāk skaidrojot šī punkta nozīmi, tomēr arī šis papildinājums ir neskaidrs un saglabā to pašu problēmu, kura parādās noteikumu projekta 39.punkta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atkārtoti lūdzam precizēt normas redakciju un anotāciju, lai tās neradītu pienākumu finansējuma saņēmējam, izstrādājot kārtību “metodiku”, definēt “saimnieciskās darbības veicēja” terminu, norādot, kuri subjekti tam kvalificējas vai nekvalificējas.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Aktivitātes ietvaros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 vēršam uzmanību, ka atbalstāmās darbības noteiktas MKN projekta 19. punktā, līdz ar ko termina "atbalstāmās darbības" lietojums attiecībā uz šī punkta apakšpunktiem ir nekorekts.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10 000 euro valstī noteiktās vienas minimālās mēneša darba algas un ar to saistīto darba spēka nodokļu izmaksām vienam darbiniekam vienu reizi 12 mēnešu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44.5. apakšpunktu, jo saredzam lielu administratīvo slogu uzraudzības un kontroles procesā, kā arī dubultā finansējuma risku, jo iesniedzot gada iedzīvotāju ienākumu deklarāciju tiek veikts iedzīvotāju ienākumu nodokļu pārrēķins.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49.14. internetveikalu, aplikāciju digitālo risinājumu un platformu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digitalizācijai ir paredzēts programmas 1.2.2.SAM “Izmantot digitalizācijas priekšrocības uzņēmējdarbības attīstībai” ietvaros, pirmkārt, lūdzam noteikt atbalsta (IT sistēmu, programmu, rīku, internetveikalu, aplikāciju digitālo risinājumu un platformu izstrāde) apmēra ierobežojumu un, otrkārt, papildināt anotāciju, sniedzot izvērstu tā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Atbalsta apjoms par šo noteikumu </w:t>
            </w:r>
            <w:r w:rsidR="00000000" w:rsidRPr="00000000" w:rsidDel="00000000">
              <w:rPr>
                <w:rtl w:val="0"/>
              </w:rPr>
              <w:t xml:space="preserve">49.</w:t>
            </w:r>
            <w:r w:rsidR="00000000" w:rsidRPr="00000000" w:rsidDel="00000000">
              <w:rPr>
                <w:rtl w:val="0"/>
              </w:rPr>
              <w:t xml:space="preserve"> punktā minētajām darbībām vienam komersantam viena kalendārā gada laikā nepārsniedz 40 000 euro, izņemot </w:t>
            </w:r>
            <w:r w:rsidR="00000000" w:rsidRPr="00000000" w:rsidDel="00000000">
              <w:rPr>
                <w:rtl w:val="0"/>
              </w:rPr>
              <w:t xml:space="preserve">49.12.</w:t>
            </w:r>
            <w:r w:rsidR="00000000" w:rsidRPr="00000000" w:rsidDel="00000000">
              <w:rPr>
                <w:rtl w:val="0"/>
              </w:rPr>
              <w:t xml:space="preserve"> apakšpunktā 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atbalsta apjomu atbilstoši anotācijā noteiktajam- 20 000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09.04.2021. Komisijas paziņojumā "Norādījumi par izvairīšanos no interešu konfliktiem un to pārvaldību saskaņā ar Finanšu regulu (2021/C 121/01)" noteikto, lūdzam noteikumu projekta VII. sadaļu "Projekta īstenošanas un finansējuma saņemšanas nosacījumi" papildināt ar jaunu punktu, kas noteic, ka finansējuma saņēmējam projekta īstenošanas laikā ir jāievēro Eiropas Parlamenta un Padomes 2018. gada 18. jūlija Regulas (ES, Euratom) Nr. 2018/1046 61. panta, Eiropas Parlamenta un Padomes 2014. gada 26. februāra Direktīvas Nr. 2014/24/ES, likuma “Par interešu konflikta novēršanu valsts amatpersonu darbībā” un Eiropas Komisijas 2021. gada 9. aprīļa paziņojuma Nr. C/2021/2119 “Norādījumi par izvairīšanos no interešu konfliktiem un to pārvaldību saskaņā ar Finanšu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anotācijā iekļaut atbilstošu skaidrojumu, norādot: "Regulas Nr. 2018/1046 61. panta prasību izpildei finansējuma saņēmējs izveido: 1.1. iekšējās kontroles sistēmu korupcijas un interešu konflikta riska novēršanai publiskas personas institūcijā atbilstoši Ministru kabineta 2017. gada 17. oktobra noteikumu Nr. 630 prasībām, kura sevī ietver: a) preventīvus pasākumus un konstatēšanas pasākumus interešu konflikta riska kontrolei atbalsta piešķiršanas procedūrā, t. sk. paziņošanas procedūru, labošanas pasākumus; b) preventīvus pasākumus un konstatēšanas pasākumus interešu konflikta kontrolei publiskajos iepirkumos, t. sk. paziņošanas procedūru, labošanas pasākumus; c) pasākumus aizliegtās vienošanās riska kontrolei; 1.2. ētikas kodeksu un procedūras disciplināratbildības piemērošanai; 1.3. ziņošanas mehānismu kompetentajām iestādēm par potenciālu administratīvu/kriminālatbildību; 1.4. trauksmes celšanas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īstenošanas laikā nodrošina interešu konflikta nepieļaujamību saskaņā ar Eiropas Parlamenta un Padomes 2018. gada 18. jūlija Regulas (ES, Euratom) Nr. 2018/1046 61. panta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pirms de minimis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euro, un tam nav piešķirts samaksas termiņa pagarinājums vai nav noslēgta vienošanās par labprātīgu nodokļu samaksu, vai nav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w:t>
            </w:r>
            <w:r w:rsidR="00000000" w:rsidRPr="00000000" w:rsidDel="00000000">
              <w:rPr>
                <w:b w:val="1"/>
                <w:rtl w:val="0"/>
              </w:rPr>
              <w:t xml:space="preserve">nav ietverts, kādas ir sekas</w:t>
            </w:r>
            <w:r w:rsidR="00000000" w:rsidRPr="00000000" w:rsidDel="00000000">
              <w:rPr>
                <w:rtl w:val="0"/>
              </w:rPr>
              <w:t xml:space="preserve">, ja gala labuma guvējam šajā punktā minētais nodokļu parāds pārsniedz 150 euro. No šī brīža noteikumu projekta redakcijas izriet, ka gadījumā, ja ir šis nodokļu parāds virs 150 euro, tas nav nekādā veidā ierobežojošs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izziņā,</w:t>
            </w:r>
            <w:r w:rsidR="00000000" w:rsidRPr="00000000" w:rsidDel="00000000">
              <w:rPr>
                <w:i w:val="1"/>
                <w:rtl w:val="0"/>
              </w:rPr>
              <w:t xml:space="preserve"> finansējuma saņēmējs neakceptē gala labuma guvēja iesniegumu, ja tiek konstatētas nodokļu parādsaistības virs noteiktā pieļaujamā limita. LIAA ir pieeja VID datu bāzei. </w:t>
            </w:r>
            <w:r w:rsidR="00000000" w:rsidRPr="00000000" w:rsidDel="00000000">
              <w:rPr>
                <w:rtl w:val="0"/>
              </w:rPr>
              <w:t xml:space="preserve">Taču šāds regulējums nav atrunāts noteikumu projektā, mūsuprāt, šādā gadījumā nepietiek ar paskaidrojumu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(vai papildināt esošo punktu), kurā tiktu atrunātas sekas, ja personai tiek konstatēts nodokļu parādsaistības virs pieļaujamā limita, attiecīgi arī papildinot anotāciju ar informāciju par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Atbalstu sniedz saskaņā ar Komisijas regulu Nr. 1407/2013 un normatīvajiem aktiem par de minimis atbalsta uzskaites un piešķiršanas kārtību un de minimis atbalsta uzskaites veidlapu paraugiem, kā arī ņemot vērā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punktos norādītās kārtības (metodikas)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LIAA ir noteikta funkcija īstenot pasākumus saskaņā ar valsts atbalsta programmām un nodrošināt Eiropas Savienības fondu un citu ārvalstu finanšu instrumentu līdzfinansēto aktivitāšu administrēšanu, tad no noteikumu projekta saprotam, ka 19.1., 19.2., 19.3., 19.7.-19.11. apakšpunktos noteiktās atbalstāmās darbības ir LIAA darbības, lai veiktu attiecīgo funkciju. Lūdzam informāciju par LIAA īstenoto funkciju un atbalstāmajām darbībām šo noteikumu ietvaros izskaidrot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 noteikumu projekta 25.9. un 49.14. apakšpunktā minēto interneta tīmekļvietņu izstrāde ir vērsta pamatā uz Latvijas iekšējo tirgu, lai nodrošinātu atbilstību Komisijas regulas Nr.1407/2013 1.panta 1.punkta d) apakšpunktam un atbalsta pretendentu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dzēst anotācijas 1.3. sadaļas 11.nodaļas pēdējā rindkopā nekorekti norādīto informāciju par iespējamās darbību uzsākšanās kavēšanās un rezultātu nesasniegšanu vienkāršoto izmaksu metodiku dēļ. Atkārtoti skaidrojam, ka par Regulā ietverto prasību par vienkāršoto izmaksu obligātu piemērošanu EM bija informēta jau vairākus gadus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281.punkta ietverto Finanšu ministrijas iebildumu un lūdzam papildināt 1.3.sadaļas apakšsadaļu "Problēmas un risinājumi" ar atbilstošu saturu par problēmām līdzšinējo pasākumu īstenošanā, to mērķu sasniegšanā un nepieciešamību pēc jaunas integrētas pieejas, t.sk. iezīmējot galvenās izmaiņas pasākumu konceptos.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61.punktā noteikto, ka "Finansējuma saņēmējs pirms de minimis atbalsta piešķiršanas pārbauda, vai gala labuma guvējam saskaņā ar VID administrēto nodokļu (nodevu) parādnieku datubāzē pieejamo informāciju nav nodokļu vai nodevu parādu", lūdzam anotācijas 1.3.sadaļas apakšsadaļā "Risinājuma apraksts" pie 9.punkta "Valsts atbalsta saņemšanas nosacījumi gala labuma guvējiem" precizēt sniegto skaidrojumu, ka "Finanasējuma saņēmējs pārbauda gala labuma atbilstību VID datu bāzē pēdējā aktualizācijas datumā pirms iesnieguma iesniegšanas". Vēršam uzmanību, ka finansējuma saņēmējam jāpārbauda minētā informācija ik reizi pirms katra atbalsta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programmas 1.2.3. specifiskā atbalsta mērķa “Veicināt ilgtspējīgu izaugsmi, konkurētspēju un darba vietu radīšanu MVU, tostarp ar produktīvām investīcijām” 1.2.3.1. pasākumu “Atbalsts inovatīvas MVU uzņēmējdarbības attīstībai”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1.1.apakšpunktā vārda “programmas” vietā ietvert pilnu programmas nosaukumu: “Eiropas Savienības kohēzijas politikas programmas 2021.–2027.gadam” vai svītrot vārdu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74 350 000 euro, tai skaitā Eiropas Reģionālā attīstības fonda (turpmāk - ERAF) finansējums 63 197 500 euro un valsts budžeta finansējums – 11 152 500 euro. Maksimālais attiecināmais ERAF finansējuma apmērs nepārsniedz 85 %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pasākuma īstenošanai kopējo pasākuma pieejamo finansējumu plāno ne vairāk kā 62 623 122 euro apmērā, tai skaitā ERAF finansējumu – 53 229 654 euro (elastības finansējuma apjoms 9 967 846 euro) apmērā, valsts budžeta finansējumu – 9 393 468 euro (elastības finansējuma apjoms 1 759 032 euro)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elastības finansējums ir iekļauts kopējā plānotajā finansējumā nevis kopējā pieejamajā finansējumā, ierosinām iekavās norādīto informāciju par elastības finansējumu pārnest uz 5. punkta pirmo teikumu un norādīt pie kopējā plānotā finansējuma. Skat. piedāvāto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Pasākuma ietvaros plānotais kopējais attiecināmais finansējums ir 74 350 000 euro (t.sk. elastības finansējuma apjoms 11 726 878 euro), tai skaitā Eiropas Reģionālā attīstības fonda (turpmāk - ERAF) finansējums 63 197 500 euro (t.sk. elastības finansējuma apjoms 9 967 846 euro) un valsts budžeta finansējums – 11 152 500 euro (t.sk. elastības finansējuma apjoms 1 759 032 euro). Maksimālais attiecināmais ERAF finansējuma apmērs nepārsniedz 85 % no projekta kopējā attiecināmā finansējuma. </w:t>
            </w:r>
            <w:r w:rsidR="00000000" w:rsidRPr="00000000" w:rsidDel="00000000">
              <w:rPr>
                <w:i w:val="1"/>
                <w:rtl w:val="0"/>
              </w:rPr>
              <w:t xml:space="preserve">Projektu iesniegumos pasākuma īstenošanai kopējo pasākuma pieejamo finansējumu plāno ne vairāk kā 62 623 122 euro apmērā, tai skaitā ERAF finansējumu – 53 229 654 euro apmērā, valsts budžeta finansējumu – 9 393 468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pēc Eiropas Komisijas lēmuma par vidusposma pārskatu var ierosināt palielināt pasākumam pieejamo kopējo attiecināmo finansējumu līdz šo noteikumu </w:t>
            </w:r>
            <w:r w:rsidR="00000000" w:rsidRPr="00000000" w:rsidDel="00000000">
              <w:rPr>
                <w:rtl w:val="0"/>
              </w:rPr>
              <w:t xml:space="preserve">5.</w:t>
            </w:r>
            <w:r w:rsidR="00000000" w:rsidRPr="00000000" w:rsidDel="00000000">
              <w:rPr>
                <w:rtl w:val="0"/>
              </w:rPr>
              <w:t xml:space="preserve"> punktā minētajam plānotajam maksimālajam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noteikuma projekta 7. punktu ar norādi, kas pasākuma ietvarā pilda atbildīgās iestādes funkciju, ņemot vērā, ka skaidrojums par atbildīgo iestādi ir sniegts tikai tālāk tekstā, konkrēti 11.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pasākuma ietvaros ir valsts tiešās pārvaldes iestāde, kuras darbības mērķis ir atbilstošs šo noteikumu 2.1. apakšpunktā ietvertajam termina skaidrojumam.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nepārprotamību par ierobežotā projektu iesniegumu atlasē uzaicināmā projektu iesniedzēja identitāti, aicinām norādīt precīzu tās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Visiem šo noteikumu 14.punktā minētajiem pasākumu veidiem atbalstāmas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19.10.</w:t>
            </w:r>
            <w:r w:rsidR="00000000" w:rsidRPr="00000000" w:rsidDel="00000000">
              <w:rPr>
                <w:rtl w:val="0"/>
              </w:rPr>
              <w:t xml:space="preserve"> un </w:t>
            </w:r>
            <w:r w:rsidR="00000000" w:rsidRPr="00000000" w:rsidDel="00000000">
              <w:rPr>
                <w:rtl w:val="0"/>
              </w:rPr>
              <w:t xml:space="preserve">19.11.</w:t>
            </w:r>
            <w:r w:rsidR="00000000" w:rsidRPr="00000000" w:rsidDel="00000000">
              <w:rPr>
                <w:rtl w:val="0"/>
              </w:rPr>
              <w:t xml:space="preserve"> apakšpunktos minētās darbības. Šo noteikumu </w:t>
            </w:r>
            <w:r w:rsidR="00000000" w:rsidRPr="00000000" w:rsidDel="00000000">
              <w:rPr>
                <w:rtl w:val="0"/>
              </w:rPr>
              <w:t xml:space="preserve">15.3.</w:t>
            </w:r>
            <w:r w:rsidR="00000000" w:rsidRPr="00000000" w:rsidDel="00000000">
              <w:rPr>
                <w:rtl w:val="0"/>
              </w:rPr>
              <w:t xml:space="preserve"> apakšpunktā noteiktajam pasākumam atbalstāmas </w:t>
            </w:r>
            <w:r w:rsidR="00000000" w:rsidRPr="00000000" w:rsidDel="00000000">
              <w:rPr>
                <w:rtl w:val="0"/>
              </w:rPr>
              <w:t xml:space="preserve">19.3.</w:t>
            </w:r>
            <w:r w:rsidR="00000000" w:rsidRPr="00000000" w:rsidDel="00000000">
              <w:rPr>
                <w:rtl w:val="0"/>
              </w:rPr>
              <w:t xml:space="preserve"> apakšpunktā minētās darbības, bet </w:t>
            </w:r>
            <w:r w:rsidR="00000000" w:rsidRPr="00000000" w:rsidDel="00000000">
              <w:rPr>
                <w:rtl w:val="0"/>
              </w:rPr>
              <w:t xml:space="preserve">15.1.</w:t>
            </w:r>
            <w:r w:rsidR="00000000" w:rsidRPr="00000000" w:rsidDel="00000000">
              <w:rPr>
                <w:rtl w:val="0"/>
              </w:rPr>
              <w:t xml:space="preserve"> apakšpunktā noteiktajam pasākuma atbalstāmas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19.12.</w:t>
            </w:r>
            <w:r w:rsidR="00000000" w:rsidRPr="00000000" w:rsidDel="00000000">
              <w:rPr>
                <w:rtl w:val="0"/>
              </w:rPr>
              <w:t xml:space="preserve"> apakšpunktos 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"14.punktā" uz "15.punktā".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w:t>
            </w:r>
            <w:r w:rsidR="00000000" w:rsidRPr="00000000" w:rsidDel="00000000">
              <w:rPr>
                <w:rtl w:val="0"/>
              </w:rPr>
              <w:t xml:space="preserve"> punktā minēto atbalstāmo darbību īstenošanai ir attiecināmas netiešās izmaksas 15% apmērā no </w:t>
            </w:r>
            <w:r w:rsidR="00000000" w:rsidRPr="00000000" w:rsidDel="00000000">
              <w:rPr>
                <w:rtl w:val="0"/>
              </w:rPr>
              <w:t xml:space="preserve">21.1.</w:t>
            </w:r>
            <w:r w:rsidR="00000000" w:rsidRPr="00000000" w:rsidDel="00000000">
              <w:rPr>
                <w:rtl w:val="0"/>
              </w:rPr>
              <w:t xml:space="preserve"> un </w:t>
            </w:r>
            <w:r w:rsidR="00000000" w:rsidRPr="00000000" w:rsidDel="00000000">
              <w:rPr>
                <w:rtl w:val="0"/>
              </w:rPr>
              <w:t xml:space="preserve">21.2.</w:t>
            </w:r>
            <w:r w:rsidR="00000000" w:rsidRPr="00000000" w:rsidDel="00000000">
              <w:rPr>
                <w:rtl w:val="0"/>
              </w:rPr>
              <w:t xml:space="preserve"> apakšpunktā norādītājām tiešajām attiecināmajām personāla izmaksām saskaņā ar 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54. panta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(skat.piedāvātajā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19. punktā minēto atbalstāmo darbību īstenošanai ir attiecināmas netiešās izmaksas 15% apmērā no 21.1. un 21.2. apakšpunktā norādītājām tiešajām attiecināmajām personāla izmaksām saskaņā ar Eiropas Parlamenta un Padomes 2021. gada 24. jūnija Regula</w:t>
            </w:r>
            <w:r w:rsidR="00000000" w:rsidRPr="00000000" w:rsidDel="00000000">
              <w:rPr>
                <w:shd w:fill="#2ecc71" w:val="clear"/>
                <w:rtl w:val="0"/>
              </w:rPr>
              <w:t xml:space="preserve">s</w:t>
            </w:r>
            <w:r w:rsidR="00000000" w:rsidRPr="00000000" w:rsidDel="00000000">
              <w:rPr>
                <w:rtl w:val="0"/>
              </w:rPr>
              <w:t xml:space="preserve">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54. panta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19.3.</w:t>
            </w:r>
            <w:r w:rsidR="00000000" w:rsidRPr="00000000" w:rsidDel="00000000">
              <w:rPr>
                <w:rtl w:val="0"/>
              </w:rPr>
              <w:t xml:space="preserve"> apakšpunktā minēto atbalstāmo darbību īstenošanai ir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izziņas 98.punktā sniegto skaidrojumu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ēdināšanas, transporta pakalpojumu un reprezentācijas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un 25.14.apakšpunktā kā attiecināmās izmaksas 19.5. un 19.12.darbībai norādītas ēdināšanas izmaksas. Lūdzam skaidrot, kas ir domāts ar ēdināšanas izmaksām 25.6.un 25.14. apakšpunktu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Publiskos iepirkumus finansējuma saņēmējs un gala labuma guvējs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gala labuma guvēji ir arī privātas struktūras, kuru veiktie iepirkumi nav uzskatāmi par publiskiem iepirkumiem, taču kuriem ir piemērojamas iepirkumus regulējošo normatīvo aktu prasības, aicinām apsvērt iespēju punkta ievaddaļā atteikties no vārda "publiskos" 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Iepirkumus finansējuma saņēmējs un gala labuma guvējs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saņemot šo noteikumu </w:t>
            </w:r>
            <w:r w:rsidR="00000000" w:rsidRPr="00000000" w:rsidDel="00000000">
              <w:rPr>
                <w:rtl w:val="0"/>
              </w:rPr>
              <w:t xml:space="preserve">34.</w:t>
            </w:r>
            <w:r w:rsidR="00000000" w:rsidRPr="00000000" w:rsidDel="00000000">
              <w:rPr>
                <w:rtl w:val="0"/>
              </w:rPr>
              <w:t xml:space="preserve">. minēto pieteikumu, izvērtē atbalsta pakalpojumu klāstu, ko piedāvāt biznesa projekta attīstībai.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58.punkta tekstā aiz cipariem 34. iztrūkst vārds -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saņemot šo noteikumu 34.punktā minēto pieteikumu, izvērtē atbalsta pakalpojumu klāstu, ko piedāvāt biznesa projekta attīstībai.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"Risinājuma apraksts" otrajā punktā "Finansējuma saņēmējs" papildināt ar skaidrojumu, ka projekta iesniedzējam pasākuma ietvaros ir pienākums veidot sadarbību arī ar pašvaldībām, atbilstoši noteikuma projekta 18. punktā 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anotācijas 1.3. sadaļas 11.nodaļas otrās rindkopas pēdējo teikumu salāgot ar MK noteikumu projekta redakciju un dzēst vārdu "horizontālās". Papildus aicinām šo teikumu pārcelt uz 11.nodaļas beigām kā atsevišķu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2.punkta pēdējā rindkopā sniegtā atsauce uz 54.punktu ir atbilstoša, nepieciešamības gadījumā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1.3.punkta 5.apakšsadaļā "Biznesa inkubatori" teikumā “Vienlaikus jāņem vērā, ka minētā iniciatīva uz 2022.gada septembri ir vēl diskusiju stadijā [..]” aktualizēt ietverto informāciju (jo 2022.gada septembris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apakšsadaļas “Risinājuma apraksts” 9.punkta piektajā rindkopā iekļautā teksta izriet, ka finansējuma saņēmējs pārbauda gala labuma atbilstību. Lūdzam precizēt norādīto tekstu, norādot, ka tiek pārbaudīta gala labuma guvēja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