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w:t>
            </w:r>
            <w:r w:rsidR="00000000" w:rsidRPr="00000000" w:rsidDel="00000000">
              <w:rPr>
                <w:vertAlign w:val="superscript"/>
                <w:rtl w:val="0"/>
              </w:rPr>
              <w:t xml:space="preserve">1</w:t>
            </w:r>
            <w:r w:rsidR="00000000" w:rsidRPr="00000000" w:rsidDel="00000000">
              <w:rPr>
                <w:rtl w:val="0"/>
              </w:rPr>
              <w:t xml:space="preserve"> panta pirmo daļu atļaut Iekšlietu ministrijai (Valsts policijai) nodot Ukrainai (Ukrainas Nacionālajai policijai, Ukrainas Aizsardzības ministrijai un Ukrainas Nacionālās Gvardes uzdevumu vienībai) bez atlīdzības šādu valsts kustamo mantu: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rīkojuma projekta 1. punktu papildinot to ar nododamās valsts kustamās mantas kopējo bilances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transportlīdzekļus </w:t>
            </w:r>
            <w:r w:rsidR="00000000" w:rsidRPr="00000000" w:rsidDel="00000000">
              <w:rPr>
                <w:i w:val="1"/>
                <w:rtl w:val="0"/>
              </w:rPr>
              <w:t xml:space="preserve">Opel Combo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1.5.apakšpunktu, tajā norādot nododamo transportlīdzekļu </w:t>
            </w:r>
            <w:r w:rsidR="00000000" w:rsidRPr="00000000" w:rsidDel="00000000">
              <w:rPr>
                <w:i w:val="1"/>
                <w:rtl w:val="0"/>
              </w:rPr>
              <w:t xml:space="preserve">Opel Combo</w:t>
            </w:r>
            <w:r w:rsidR="00000000" w:rsidRPr="00000000" w:rsidDel="00000000">
              <w:rPr>
                <w:rtl w:val="0"/>
              </w:rPr>
              <w:t xml:space="preserve">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2006.gada 25.jūlija noteikumu Nr.618 "Kārtība, kādā valsts kustamo mantu nodod bez atlīdzības ārvalstu valdību un starpvalstu organizāciju īpašumā" 3.un 4.punktam valsts kustamo mantu nodod bez atlīdzības ārvalstu valdību vai starp­valstu organizāciju īpašumā, slēdzot rakstveida līgumu un tikai gadījumā, ja objektīvu iemeslu dēļ nav iespējams noslēgt minēto līgumu, valsts kustamo mantu var nodot bez atlīdzības ārvalstu valdību vai starpvalstu organizāciju īpašumā, noformējot citus valsts kustamās mantas nodošanu un pieņemšanu apliecinošus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2023.gada 28.marta noteikumu Nr.136 "Grozījumi Ministru kabineta 2006.gada 25.jūlija noteikumos Nr.618 "Kārtība, kādā valsts kustamo mantu nodod bez atlīdzības ārvalstu valdību un starpvalstu organizāciju īpašumā"" sākotnējās ietekmes novērtējuma ziņojuma (anotācijas) 1.sadaļas 1.3.punktā norādītajam "jāņem vērā, ka kustamās mantas nodošana, noformējot citus kustamās mantas nodošanu un pieņemšanu apliecinošus dokumentus, ir izņēmums no vispārējās mantas nodošanas kārtības, un </w:t>
            </w:r>
            <w:r w:rsidR="00000000" w:rsidRPr="00000000" w:rsidDel="00000000">
              <w:rPr>
                <w:u w:val="single"/>
                <w:rtl w:val="0"/>
              </w:rPr>
              <w:t xml:space="preserve">attiecīgā Ministru kabineta rīkojuma anotācijā ir pēc iespējas jānorāda uz objektīviem apstākļiem, kas liedz noslēgt rakstveida līgumu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rīkojuma projekta anotācijas attiecīgo sadaļu ar informāciju par objektīviem apstākļiem, kuru dēļ konkrētajā gadījumā nebūtu iespējams noslēgt rakstveida līgumu par valsts kustamās mantas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praksē ir bijuši arī gadījumi, kad par valsts kustamās mantas nodošanu Ukrainai ir slēgts rakstveida līgums (sk.piemēram, Ministru kabineta 2022.gada 21.decembra rīkojumu Nr.961 "Par valsts kustamās mantas nodošanu bez atlīdzības Ukrainai"), līdz ar to ir iespējami arī gadījumi, kad par valsts kustamās mantas nodošanu Ukrainai ir iespēja noslēgt rakstveida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kustamās mantas nodošanu bez atlīdzības Ukrainai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rīkojuma projektu ar jaunu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šā rīkojuma 1. punktā minētās valsts kustamās mantas transportēšanu saistītos izdevumus segt no Iekšlietu ministrijai valsts budžeta apakšprogrammā 06.01.00 "Valsts policija" piešķirtajiem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anotācijas pārskatāmību lūdzam sadaļas 1.3. punktā “Risinājuma apraksts” norādītās Ukrainai nodomās valts kustamās mantas pozīcijas pārlikt uz anotācijas pielikumu. Anotācijā norādot tikai kopējo bilances vērtību un atsauci uz anotācijas pielikumu, kur detalizēti tiek uzskaitītas visas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1.22.apakšpunktam Ukrainai bez atlīdzības paredzēts nodot arī valsts kustamo mantu - degvielu (iepildītu transportlīdzekļos, elektrostacijā un ģeneratoros), taču rīkojuma projekta anotācijā par degvielu ir norādīta vērtība, nenorādot, vai tā ir bilances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2006.gada 25.jūlija noteikumu Nr.618 "Kārtība, kādā valsts kustamo mantu nodod bez atlīdzības ārvalstu valdību un starpvalstu organizāciju īpašumā" 2.punktam rīkojuma projekta sākotnējās ietekmes (ex-ante) novērtējuma ziņojumā (anotācija) iekļauj informāciju par nododamo valsts kustamo mantu, tās apjomu, tehnisko stāvokli, </w:t>
            </w:r>
            <w:r w:rsidR="00000000" w:rsidRPr="00000000" w:rsidDel="00000000">
              <w:rPr>
                <w:u w:val="single"/>
                <w:rtl w:val="0"/>
              </w:rPr>
              <w:t xml:space="preserve">bilances vērtību</w:t>
            </w:r>
            <w:r w:rsidR="00000000" w:rsidRPr="00000000" w:rsidDel="00000000">
              <w:rPr>
                <w:rtl w:val="0"/>
              </w:rPr>
              <w:t xml:space="preserve"> un pamatojumu nodošanai ārvalstu valdību vai starpvalstu organizāciju īpašumā. Tādējādi, nododot degvielu Ukrainai kā valsts kustamo mantu, anotācijā nepieciešams precizēt, ka tā ir </w:t>
            </w:r>
            <w:r w:rsidR="00000000" w:rsidRPr="00000000" w:rsidDel="00000000">
              <w:rPr>
                <w:u w:val="single"/>
                <w:rtl w:val="0"/>
              </w:rPr>
              <w:t xml:space="preserve">bilances </w:t>
            </w:r>
            <w:r w:rsidR="00000000" w:rsidRPr="00000000" w:rsidDel="00000000">
              <w:rPr>
                <w:rtl w:val="0"/>
              </w:rPr>
              <w:t xml:space="preserve">vērtība.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1.1.-1.18.apakšpunktā norādītajam Ukrainai bez atlīdzības paredzēts nodot 50 transportlīdzekļus, savukārt no rīkojuma projekta anotācijā norādītās informācijas secināms, ka vienlaikus paredzēts nodot arī attiecīgo transportlīdzekļu aprīkojumu (dažāda veida kustamo mantu).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skaidrību par valsts kustamo mantu, kuru paredzēts nodot Ukrainai, lūdzam izvērtēt, vai rīkojuma projekta attiecīgajos apakšpunktos nebūtu jāprecizē, ka tiek nodoti transportlīdzekļi kopā ar aprīkojumu vai arī precizēt rīkojuma projekta anotāciju, norādot, ka atbilstoši Civillikuma 850.pantam transportlīdzeklis uzskatāms pa galveno lietu, savukārt tā aprīkojums par blakus lietu, attiecīgi Ukrainai bez atlīdzības tiek nodota galvenā lieta ar tai piederošajām blakus lietām.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23-TA-876</w:t>
    </w:r>
    <w:r>
      <w:br/>
    </w:r>
    <w:r w:rsidR="00000000" w:rsidRPr="00000000" w:rsidDel="00000000">
      <w:rPr>
        <w:rtl w:val="0"/>
      </w:rPr>
      <w:t xml:space="preserve">Izdrukāts 13.04.2023. 08.51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23-TA-876</w:t>
    </w:r>
    <w:r>
      <w:br/>
    </w:r>
    <w:r w:rsidR="00000000" w:rsidRPr="00000000" w:rsidDel="00000000">
      <w:rPr>
        <w:rtl w:val="0"/>
      </w:rPr>
      <w:t xml:space="preserve">Izdrukāts 13.04.2023. 08.51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Atzinumi_23-TA-876.docx</dc:title>
</cp:coreProperties>
</file>

<file path=docProps/custom.xml><?xml version="1.0" encoding="utf-8"?>
<Properties xmlns="http://schemas.openxmlformats.org/officeDocument/2006/custom-properties" xmlns:vt="http://schemas.openxmlformats.org/officeDocument/2006/docPropsVTypes"/>
</file>