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Datu regulas 5. panta 1. punkta a) apakšpunktam personas dati tiek apstrādāti likumīgi, godprātīgi un datu subjektam pārredzamā veidā.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noteikumu projekta anotācijas 8.1.13. apakšpunkta izriet, ka tiks apstrādāti Valsts izglītības informācijas sistēmas dati apkopotā veidā. No minētā nav saprotams apstrādājamo datu apjoms, kā arī, vai nolūka sasniegšanai vispār ir nepieciešama personas datu apstrāde, jo no noteikumu projekta 28. punkta izriet, ka datortehnikas tiek piešķirtas proporcionāli piecgadīgo un sešgadīgo izglītojamo skaitam. Tas nozīmē, ka nepieciešams iegūt informāciju par izglītojamo skaitu, neapstrādājot informāciju par konkrētu izglītojamo.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izvērtēt, vai nolūka sasniegšanai ir nepieciešama arī personas datu apstrāde. Ja tiek secināts, ka nolūku nav iespējams sasniegt neapstrādājot personas datus, lūdzam papildināt noteikumu projektu, norādot, kādi personas dati tiks apstrādāti un cik ilgi tie tiks glabāti.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26.02.2024.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26.02.2024.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