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minimālais kopējo attiecināmo izmaksu apmērs nav mazāks par 200 000 </w:t>
            </w:r>
            <w:r w:rsidR="00000000" w:rsidRPr="00000000" w:rsidDel="00000000">
              <w:rPr>
                <w:i w:val="1"/>
                <w:rtl w:val="0"/>
              </w:rPr>
              <w:t xml:space="preserve">euro</w:t>
            </w:r>
            <w:r w:rsidR="00000000" w:rsidRPr="00000000" w:rsidDel="00000000">
              <w:rPr>
                <w:rtl w:val="0"/>
              </w:rPr>
              <w:t xml:space="preserve"> (ieskaitot), un projektam pieejamais maksimālais Eiropas Reģionālās attīstības fonda finansējums ir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projektā noteiktais maksimālais projekta finansējums ir 5 000 000 euro. Tomēr lūdzam paredzēt iespēju ar Ministru kabineta lēmumu palielināt pieejamā finansējuma maksimālo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01.03.2024.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01.03.2024.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