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atļauju laukuma izmantošanai jūras piekrastes ūdeņos un sauszemē tūrismam un rekreācijai paredzētu pirmās vai otrās grupas inženierbūvju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(22-TA-2802_Izziņa _par3.red)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nomnieks neievēro šo noteikumu 6.punktā minētās atļaujas nosacījumus, vai arī tiek konstatēti normatīvo aktu pārkāpumi būvniecības un vides aizsardzības jomās, atļauju var apturēt uz laiku līdz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Atļauju var anulēt, ja nomnieka darbības vai bezdarbības rezultātā pasliktinājušies jūras vides un ūdens ekoloģiskās kvalitātes rādītāji, ūdens bioloģisko resursu stāvoklis, bioloģiskā daudzveidība, samazinājusies pludmales publiskā pieejamība, radīts kaitējums cilvēku drošībai un veselībai, vai atkārtoti pārkāpti atļaujas nosacījumi. Anulējot šo atļauju, tiek izbeigts arī nomas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8.punktu, ņemot vērā, ka tas ietvert noteikumu projekta 9.punktā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12.07.2024.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12.07.2024.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Atzinumi_23-TA-3236.docx</dc:title>
</cp:coreProperties>
</file>

<file path=docProps/custom.xml><?xml version="1.0" encoding="utf-8"?>
<Properties xmlns="http://schemas.openxmlformats.org/officeDocument/2006/custom-properties" xmlns:vt="http://schemas.openxmlformats.org/officeDocument/2006/docPropsVTypes"/>
</file>