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Investīcijas ietvaros izmaksas iespējams attiecināt līdz 2027. gada 31. decembrim. Ja kompetences centram un sadarbības partnerim izmaksas rodas pēc 2027. gada 31. decembra, tās tiek segtas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pagarināt izmaksu attiecināmības termiņu investīcijas ietvaros - ar finansējuma saņēmējiem līgumi par projektu īstenošanu ir slēgti 2022. gada beigās vai 2023. gada sākumā, tādēļ nav saprotams anotācijā norādītais pamatojums, ka izmaksu attiecināmības termiņa pagarinājums ir nepieciešams "ņemot vērā īso Atveseļošanas un noturības mehāniska investīcijas īstenošanas termiņu". Vēlamies skaidrot, ka investīcijas īstenošana norisinās atbilstoši plānotajam, un, ņemot vērā projektiem pieejamo īstenošanas termiņu līdz 2026. gada 30. jūnijam, šobrīd nav saskatāmi riski, ka investīcijas ietvaros finansējums netiks ieguldīts pilnā apmērā. Šobrīd, pagarinot izmaksu attiecināmības termiņu, saskatām risku nevajadzīgiem projektu termiņu pagarinājumiem, kas radīs papildu administratīvo slogu investīcijas uzraudzības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teikuma daļu "Eiropas Savienības kohēzijas politikas programmas 2021.–2027. gadam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4.punktā pievienot piebildi, ka izmaksu attiecināšanas termiņa pagarinājuma gadījumā MK noteikumos norādītajos termiņos jābūt sasniegtiem MK noteikumos noteiktajiem investīcijas kārtas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un paredzēt līdzšinējo investīcijas uzraudzības kārtību, kas nosaka, ka projektu īstenošanas termiņš ir 2026. gada 30. jūnijs (lūdzu skatīt iebildumu ar pamatojumu pie MK noteikumu 52.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Nozares ministrija sagatavo izskatīšanai Ministru kabinetā ziņojumu par investīcijas īstenošanu, kas ietver informāciju par turpmāku investīcijas uzraudzību pēc 2026. gada 31. augusta, tai skaitā par finansējuma izlietojumu, sniedzot priekšlikumus par finansējuma pārvirzīšanu nozares ministrijas atbalsta pasākumiem Eiropas Savienības kohēzijas politikas programmas 2021.–2027. gadam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2022. gada 5. jūlija noteikumu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plānotajā 91.</w:t>
            </w:r>
            <w:r w:rsidR="00000000" w:rsidRPr="00000000" w:rsidDel="00000000">
              <w:rPr>
                <w:vertAlign w:val="superscript"/>
                <w:rtl w:val="0"/>
              </w:rPr>
              <w:t xml:space="preserve">1</w:t>
            </w:r>
            <w:r w:rsidR="00000000" w:rsidRPr="00000000" w:rsidDel="00000000">
              <w:rPr>
                <w:rtl w:val="0"/>
              </w:rPr>
              <w:t xml:space="preserve"> punktā vārdus "nozares ministrijas atbalsta pasākumiem" ar vārdiem "atbildīgās iestādes atbalsta pasākumiem", ņemot vērā funkciju nodalāmību Ekonomikas ministrijā un to, ka Atveseļošanas un noturības mehānisma ietvaros atbilstoši Ministru kabineta 2021. gada 7. septembra noteikumiem Nr. 621 "Eiropas Savienības Atveseļošanas un noturības mehānisma plāna īstenošanas un uzraudzības kārtība" Ekonomikas ministrija ir nozares ministrija, bet Eiropas Savienības fondu 2021.-2027. gada plānošanas perioda ietvaros atbilstoši Eiropas Savienības fondu 2021.-2027. gada plānošanas perioda vadības likumam -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2</w:t>
            </w:r>
            <w:r w:rsidR="00000000" w:rsidRPr="00000000" w:rsidDel="00000000">
              <w:rPr>
                <w:rtl w:val="0"/>
              </w:rPr>
              <w:t xml:space="preserve"> Ja investīcijas ietvaros ir sasniegti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 gada 31. decembrim nav ieguldīts pilnā apmērā, nozares ministrija informāciju par neieguldītā finansējuma izlietojumu iekļauj šo noteikumu </w:t>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investīcijai atvēlētā finansējuma ieguldījumu termiņu līdz 2026. gada 30. jūnijam (lūdzu skatīt iebildumu ar pamatojumu pie MK noteikumu 52.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tiek pārkāptas šajos noteikumos noteiktās komercdarbības atbalsta kontroles normas, tostarp nosacījumi, kas izriet no Komisijas regulas Nr. </w:t>
            </w:r>
            <w:r w:rsidR="00000000" w:rsidRPr="00000000" w:rsidDel="00000000">
              <w:rPr>
                <w:rtl w:val="0"/>
              </w:rPr>
              <w:t xml:space="preserve">651/2014</w:t>
            </w:r>
            <w:r w:rsidR="00000000" w:rsidRPr="00000000" w:rsidDel="00000000">
              <w:rPr>
                <w:rtl w:val="0"/>
              </w:rPr>
              <w:t xml:space="preserve">, Atveseļošanas fonda finansējuma saņēmējam ir pienākums atmaksāt aģentūrai nelikumīgo projekta ietvaros piešķirto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Procenti ir aprēķināmi no dienas, kad nelikumīgais atbalsts pirmo reizi nodots sadarbības partnerim, līdz tā atgūšanas dienai. Minētajā gadījumā finansējuma saņēmējam ir tiesības no sadarbības partnera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 nelikumīgs komercdarbības atbalsts ir atgūstams tikai tāds atbalsts, ja tas tiek piešķirts, neievērojot Komisijas regulas Nr. 651/2014 normas, lūdzam noteikumu 116.punktu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Ja tiek pārkāpti Komisijas regulas Nr. 651/2014 nosacījumi, Atveseļošanas fonda finansējuma saņēmējam ir pienākums atmaksāt aģentūrai nelikumīgo projekta ietvaros piešķirto komercdarbības atbalstu kopā ar procentiem no līdzekļiem, kas ir brīvi no komercdarbības atbalsta, atbilstoši Komercdarbības atbalsta kontroles likuma IV vai V nodaļas nosacījumiem. Procenti ir aprēķināmi no dienas, kad nelikumīgais atbalsts pirmo reizi nodots sadarbības partnerim, līdz tā atgūšanas dienai. Minētajā gadījumā finansējuma saņēmējam ir tiesības no sadarbības partnera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w:t>
    </w:r>
    <w:r>
      <w:br/>
    </w:r>
    <w:r w:rsidR="00000000" w:rsidRPr="00000000" w:rsidDel="00000000">
      <w:rPr>
        <w:rtl w:val="0"/>
      </w:rPr>
      <w:t xml:space="preserve">Izdrukāts 30.04.2024.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w:t>
    </w:r>
    <w:r>
      <w:br/>
    </w:r>
    <w:r w:rsidR="00000000" w:rsidRPr="00000000" w:rsidDel="00000000">
      <w:rPr>
        <w:rtl w:val="0"/>
      </w:rPr>
      <w:t xml:space="preserve">Izdrukāts 30.04.2024.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Atzinumi_24-TA-204.docx</dc:title>
</cp:coreProperties>
</file>

<file path=docProps/custom.xml><?xml version="1.0" encoding="utf-8"?>
<Properties xmlns="http://schemas.openxmlformats.org/officeDocument/2006/custom-properties" xmlns:vt="http://schemas.openxmlformats.org/officeDocument/2006/docPropsVTypes"/>
</file>