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23-TA-760: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4.3.4. specifiskā atbalsta mērķa "Sekmēt aktīvu iekļaušanu, lai veicinātu vienlīdzīgas iespējas, nediskriminēšanu un aktīvu līdzdalību, kā arī uzlabotu nodarbināmību, jo īpaši attiecībā uz nelabvēlīgā situācijā esošām grupām" 4.3.4.5. pasākuma "Atbalsts pilsoniskās sabiedrības organizāciju izaugsmei, stiprinot līdzdalību publiskās pārvaldes lēmumu pieņemšanas procesos"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iebildumi un priekšlikumi)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Sadarbības partnerim šo noteikumu </w:t>
            </w:r>
            <w:r w:rsidR="00000000" w:rsidRPr="00000000" w:rsidDel="00000000">
              <w:rPr>
                <w:rtl w:val="0"/>
              </w:rPr>
              <w:t xml:space="preserve">12. </w:t>
            </w:r>
            <w:r w:rsidR="00000000" w:rsidRPr="00000000" w:rsidDel="00000000">
              <w:rPr>
                <w:rtl w:val="0"/>
              </w:rPr>
              <w:t xml:space="preserve">punktā</w:t>
            </w:r>
            <w:r w:rsidR="00000000" w:rsidRPr="00000000" w:rsidDel="00000000">
              <w:rPr>
                <w:rtl w:val="0"/>
              </w:rPr>
              <w:t xml:space="preserve"> minēto atbalstāmo darbību īstenošanai tiks piešķirts publiskais finansējums, kas nepārsniedz 40 procentus no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plānotā kopējā finansējuma kopā ar elastības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15.3.apakšpunktā minēto, lūdzam precizēt noteikumu projekta 13.punktu, nosakot, ka sadarbības partnerim atbalstāmo darbību īstenošanai tik piešķirts finansējums no projekta, lai būtu nepārprotami, kas domāts ar vārdiem "publiskais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Atbalstāmās darbības un attiecināmās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jaunu punktu, kas nosaka, ka projekta īstenošanas gaitā radušās sadārdzinājuma izmaksas finansējuma saņēmējs sedz no saviem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tiešās attiecināmās personāla izmaksas – finansējuma saņēmēja projekta vadības un īstenošanas personāla, kā arī sadarbības partnera projekta īstenošanas personāla atlīdzības izmaksas (izņemot virsstundas) šo noteikumu </w:t>
            </w:r>
            <w:r w:rsidR="00000000" w:rsidRPr="00000000" w:rsidDel="00000000">
              <w:rPr>
                <w:rtl w:val="0"/>
              </w:rPr>
              <w:t xml:space="preserve">17.8. </w:t>
            </w:r>
            <w:r w:rsidR="00000000" w:rsidRPr="00000000" w:rsidDel="00000000">
              <w:rPr>
                <w:rtl w:val="0"/>
              </w:rPr>
              <w:t xml:space="preserve">apakšpunktā</w:t>
            </w:r>
            <w:r w:rsidR="00000000" w:rsidRPr="00000000" w:rsidDel="00000000">
              <w:rPr>
                <w:rtl w:val="0"/>
              </w:rPr>
              <w:t xml:space="preserve"> minēto atbalstāmo darbību īstenošanai. Izmaksas ir attiecināmas atbilstoši atbildīgās iestādes apstiprinātajai vienkāršoto izmaksu metodikai, kas saskaņota ar Finanšu ministriju (turpmāk – vadošā iestāde). Līdz metodikas apstiprināšanai tiek piemērota personāla izmaksu vienotā likme 20 procentu apmērā no attiecināmajām izmaksām, kas noteiktas šo noteikumu </w:t>
            </w:r>
            <w:r w:rsidR="00000000" w:rsidRPr="00000000" w:rsidDel="00000000">
              <w:rPr>
                <w:rtl w:val="0"/>
              </w:rPr>
              <w:t xml:space="preserve">19.2. </w:t>
            </w:r>
            <w:r w:rsidR="00000000" w:rsidRPr="00000000" w:rsidDel="00000000">
              <w:rPr>
                <w:rtl w:val="0"/>
              </w:rPr>
              <w:t xml:space="preserve">apakšpunktā</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atbalstāma šāda pieejas maiņa, līdz ar to lūdzam izvēlēties vienu no risinājumiem un ar to virzīties uz saskaņošanu ar VI. Papildus norādām, ka vienotā likme ir jāsaskaņo ar VI, pierādot šo konkrēto likmes apmēru, kā arī anotācijā jābūt obligāti norādāmajai informācijai, piemērojot šo vienkāršoto izmaksu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ja ar vienoto personāla likmi līdz 20 % ir pietiekami, lai segtu personāla atlīdzības izmaksas, lūdzam izvērtēt nepieciešamību izstrādāt vienkāršoto izmaksu metodiku, kas ir administratīvi lielāks slogs visām iesaistītajām pusēm.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izmaksas tiks  attiecinātas atbilstoši atbildīgās iestādes apstiprinātajai vienkāršoto izmaksu metodikai, lūdzam anotāciju papildināt ar informāciju, vai noteikumu projekta 19.1.apakšpunktā norādītā vienkāršoto izmaksu metodika tiks apstiprināta līdz atlases izsludināšanai. Attiecīgi lūdzam norādīt, ka gadījumā, ja līdz atlases izsludināšanai vienkāršoto izmaksu metodika nebūs apstiprināta, projekta iesniegumu atlasē netiks veikta personāla atlīdzības izmaksu apmēra pamatotības analīze.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 pārējās projekta īstenošanas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iespējami plašāku vienkāršoto izmaksu piemērošanu. Ja piemērot vienkāršotās izmaksas papildus jau paredzētajam nav iespējams, lūdzam sniegt argumentētu pamatojumu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19.2.4. jaunradītu darba vietu aprīkojuma, biroja mēbeļu un tehnikas, datorprogrammu un licenču iegādes vai nomas izmaksas, tai skaitā aprīkojuma uzturēšanas un remonta izmaksas, ne vairāk kā 3000 </w:t>
            </w:r>
            <w:r w:rsidR="00000000" w:rsidRPr="00000000" w:rsidDel="00000000">
              <w:rPr>
                <w:i w:val="1"/>
                <w:rtl w:val="0"/>
              </w:rPr>
              <w:t xml:space="preserve">euro </w:t>
            </w:r>
            <w:r w:rsidR="00000000" w:rsidRPr="00000000" w:rsidDel="00000000">
              <w:rPr>
                <w:rtl w:val="0"/>
              </w:rPr>
              <w:t xml:space="preserve">vienai darba vietai visā projekta īstenošanas laikā, ja projekta vadības vai īstenošanas personāls, tai skaitā sadarbības partnera personāls, ir nodarbināts projektā vismaz 30 procentu apmērā no normālā darba laika uz darba līguma pamata. Ja projekta vadības un īstenošanas personāls, tai skaitā sadarbības partnera personāls, ir nodarbināts nepilnu darba laiku vai daļlaiku, darba vietas aprīkojuma izmaksas ir attiecināmas proporcionāli atlīdzības procentuālajam sadalījumam;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Finanšu ministrijas 2022.gada 25.augusta vadlīniju Nr. 1.2. "Vadlīnijas attiecināmo izmaksu noteikšanai Eiropas Savienības kohēzijas politikas programmas 2021.-2027.gada plānošanas periodā" 33.punktam daļlaika izmaksu attiecināšanas principa gadījumā jāņem vērā darbinieka iesaistes periods projektā pret projekta kopējo īstenošanas ilgumu.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precizēt MK noteikumu attiecīgo apakšpunktu, kā arī vienlaikus lūdzam anotāciju papildināt ar skaidrojumu, ka tiks vērtēts aprīkojuma iegādes samērīgums attiecībā uz darbiniekiem, kuriem tiek piemērots daļlaika noslodzes princips.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19.2.8. normatīvajos aktos par obligātajām veselības pārbaudēm paredzēto veselības pārbaužu izmaksas, redzes korekcijas līdzekļu kompensācija, veselības apdrošināšana projekta vadības un projekta īstenošanas personālam, tai skaitā sadarbības partnera personālam, ja veselības apdrošināšana paredzēta finansējuma saņēmēja un sadarbības partnera iestādē. Ja projekta vadības un projekta īstenošanas personāls, tai skaitā sadarbības partnera personāls, ir nodarbināts normālu darba laiku, veselības apdrošināšanas izmaksas ir attiecināmas 100 procentu apmērā. Ja projekta vadības un projekta īstenošanas personāls, tai skaitā sadarbības partnera personāls, ir nodarbināts nepilnu darba laiku, veselības apdrošināšanas izmaksas nosakāmas atbilstoši nepilnā darba laika noslodzei. Ja projekta vadības un projekta īstenošanas personāla, tai skaitā sadarbības partnera personāla, atlīdzībai piemēro daļlaika attiecināmības principu, veselības apdrošināšanas izmaksas nosakāmas proporcionāli atlīdzības procentuālajam sadalījumam. Veselības apdrošināšanas izmaksas ir attiecināmas tikai uz laiku, kad projekta vadības un projekta īstenošanas personāls, tai skaitā sadarbības partnera personāls, ir nodarbināts projektā šo noteikumu </w:t>
            </w:r>
            <w:r w:rsidR="00000000" w:rsidRPr="00000000" w:rsidDel="00000000">
              <w:rPr>
                <w:rtl w:val="0"/>
              </w:rPr>
              <w:t xml:space="preserve">17.8. </w:t>
            </w:r>
            <w:r w:rsidR="00000000" w:rsidRPr="00000000" w:rsidDel="00000000">
              <w:rPr>
                <w:rtl w:val="0"/>
              </w:rPr>
              <w:t xml:space="preserve">apakšpunktā</w:t>
            </w:r>
            <w:r w:rsidR="00000000" w:rsidRPr="00000000" w:rsidDel="00000000">
              <w:rPr>
                <w:rtl w:val="0"/>
              </w:rPr>
              <w:t xml:space="preserve"> minēto atbalstāmo darbību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noteikumu 19.2.8.apakšpunktā minētās izmaksas tiek attiecinātas no MK noteikumu 19.1.apakšpunktā minētajām izmaksām, lūdzam svītrot 19.2.8.apakšpunktu.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Zemture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Ja projekta vadības un projekta īstenošanas personāls organizācijā veic pienākumus, kas ir saistīti ne tikai ar projektu, bet arī ar konkrētās organizācijas pamatdarbību vai citu finanšu instrumentu administrēšanu, daļu no atlīdzības izmaksām var segt no projekta tiešajām attiecināmajām personāla izmaksām proporcionāli laikam, kurā tiek veikti ar projektu saistītie pienākumi. Šādā gadījumā nepieciešama projekta vadības un projekta īstenošanas personāla darbalaika uzskaite, ievērojot, ka izmaksas no Eiropas Sociālā fonda Plus ir tiešās attiecināmās izmaksas, ja darbinieks projektā nodarbināts vismaz 30 procentu apmērā no kopējās noslodzes.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projektā vadības un īstenošanas personālam ir paredzētas vienkāršotās izmaksas atbilstoši MK noteikumu 19.1.punktam, lūdzam šo punktu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Zemture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Pasākuma un projekta īstenošanas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nosacījumu, ka finansējuma saņēmējs un sadarbības partneris, īstenojot projektu, nodrošina interešu konflikta neesamību saskaņā ar Eiropas Parlamenta un Padomes 2018. gada 18. 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panta prasībām, tai skaitā paraksta apliecinājumu, kā arī nodrošina, ka neiestājas dubultfinansējuma risks.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 nodrošina horizontālā principa "Vienlīdzība, iekļaušana, nediskriminācija un pamattiesību ievērošana" vispārīgas un specifiskas darbības, kas veicina vienlīdzību, iekļaušanu, nediskrimināciju un pamattiesību ievērošanu, kā arī rādītāju uzkrāšanu un ziņošanu;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Labklājības ministrijas izstrādātajām vadlīnijām "Horizontālais princips “Vienlīdzība, iekļaušana, nediskriminācija un pamattiesību ievērošana” vadlīnijas īstenošanai un uzraudzībai (2021-2027)" pasākumam ir netieša ietekme uz horizontālo principu " “Vienlīdzība, iekļaušana, nediskriminācija un pamattiesību ievērošana”, kas nosaka, ka pasākumam ir jānosaka vismaz viens horizontālā principa “Vienlīdzība, iekļaušana, nediskriminācija un pamattiesību ievērošana” rādītājs. Lūdzam papildināt MK noteikumu projekta 27.1.apakšpunktu ar šo rādītāju attiecīgi papildinot informāciju arī anotācijā, kā arī lūdzam papildināt anotāciju ar 3 vispārīgām un 3 specifiskām darbībām.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Priedīte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Sadarbības iestādei ir tiesības vienpusēji atkāpties no līguma par projekta īstenošanu jebkurā no šādiem gadījumiem: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31.punktu, jo attiecīgie nosacījumi dublē Ministru kabineta noteikumu "Kārtība, kādā Eiropas Savienības fondu vadībā iesaistītās institūcijas nodrošina šo fondu ieviešanu 2021.–2027.gada plānošanas periodā" (šobrīd saskaņošanas stadijā) 35.punktā noteikto. Nepieciešamības gadījumā aicinām attiecīgo informāciju iekļaut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Latvijas Pilsoniskās alianses sniegto informāciju dokumentā "viedokļu pārskats", lūdzam papildināt ar skaidrojumu attiecībā uz turpmāko rīcību, ja iestāsies sadārdzinājuma gadījums. Vienlaikus vēršam uzmanību, ka nav pieļaujama sadārdzinājuma segšana no ES fondu līdzekļiem un valsts budžeta līdzfinansējuma (t.sk. valsts budžeta dotācijām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7.punktā sniegto informāciju, norādot institūciju, kurā projekts ietekmēs amata vietu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Kobzeva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sniegt informāciju, ka pasākuma īstenošanai nepieciešamais finansējums tiks pārdalīts no 74.resora "Gadskārtējā valsts budžeta izpildes procesā pārdalāmais finansējums” 80.00.00 programmas „Nesadalītais finansējums Eiropas Savienības politiku instrumentu un pārējās ārvalstu finanšu palīdzības līdzfinansēto projektu un pasākumu īstenošanai”, vienlaikus norādot konkrēto institūciju, kura lūgs minēto pārdali veikt.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kā anotācijas 3.sadaļas 6.punktā norādītais 2024., 2025., 2026., 2027. un 2028. gada indikatīvais finansējuma sadalījums pa avotiem neveido attiecīgā gada finansējuma kopsummu. Attiecīgi lūdzam precizēt 6.punktā sniegto informāciju, nepieciešamības gadījumā veicot labojumus arī 1.,1.1., 2., 2.1., 3., 3.1., 5. un 5.1.punktā.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MK noteikuma projektu papildināt ar jaunu punktu par plānoto atbalsta veidu saskaņā ar vadošās iestādes vadlīniju projekta “Vadlīnijas Ministru kabineta noteikumu par specifiskā  atbalsta mērķa īstenošanu izstrādei Eiropas Savienības fondu 2021.—2027. gada plānošanas periodā” 7.punktu.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Ozoliņa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pasākumam pieejamo finansējumu un nacionālā līdzfinansējuma likmi;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1.3.apakšpunktu ar vārdiem "plānoto un" aiz vārda "pasākumam", ņemot vērā, ka noteikumu projektā ir noteikts arī plānotā finansējuma apmērs.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prasības Eiropas Sociālā fonda Plus projekta (turpmāk – projekts) iesniedzējam un projekta sadarbības partnerim;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1.4.apakšpunktu ar vārdiem "finansējuma saņēmējam" aiz vārda "iesniedzējam", ņemot vērā, ka noteikumu projekts nosaka prasības arī attiecīgā pasākuma finansējuma saņēmējam.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ietvaros ir sasniedzami šādi iznākuma rādītāji: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4. un 5. punkta redakciju, izsakot tos vienā punktā atbilstoši Vadošās iestādes vadlīnijām “Vadlīnijas Ministru kabineta noteikumu par specifiskā atbalsta mērķa īstenošanu izstrādei”, vienlaikus precizējot rādītāju nosaukumus un veidus atbilstoši Programmā noteiktajam. Lūdzam veikt atbilstošus precizējumus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ietvaros līdz 2029. gada 31. decembrim ir sasniedzami šādi uzraudzības rādītāji: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programmas iznākuma rādītājs biedrības un nodibinājumi, kuri saņēmuši atbalstu - 250, tai skaitā līdz 2024. gada 31. decembrim –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programmas rezultāta rādītājs NVO skaits, kas sniegušas atzinumus par rīcībpolitikas plānošanas dokumentiem un normatīvajiem aktiem (6 mēnešu laikā pēc iesaistes projekta darbībās) - 50.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Pasākumam plānotais kopējais finansējums kopā ar elastības finansējumu ir 1 740 000 </w:t>
            </w:r>
            <w:r w:rsidR="00000000" w:rsidRPr="00000000" w:rsidDel="00000000">
              <w:rPr>
                <w:i w:val="1"/>
                <w:rtl w:val="0"/>
              </w:rPr>
              <w:t xml:space="preserve">euro</w:t>
            </w:r>
            <w:r w:rsidR="00000000" w:rsidRPr="00000000" w:rsidDel="00000000">
              <w:rPr>
                <w:rtl w:val="0"/>
              </w:rPr>
              <w:t xml:space="preserve">, ko veido Eiropas Sociālā fonda Plus finansējums – 1 479 000 </w:t>
            </w:r>
            <w:r w:rsidR="00000000" w:rsidRPr="00000000" w:rsidDel="00000000">
              <w:rPr>
                <w:i w:val="1"/>
                <w:rtl w:val="0"/>
              </w:rPr>
              <w:t xml:space="preserve">euro </w:t>
            </w:r>
            <w:r w:rsidR="00000000" w:rsidRPr="00000000" w:rsidDel="00000000">
              <w:rPr>
                <w:rtl w:val="0"/>
              </w:rPr>
              <w:t xml:space="preserve">un valsts budžeta līdzfinansējums – 261 000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6. un 7.punkta redakciju, izsakot minētos punktus atbilstoši vadošās iestādes vadlīniju projekta “Vadlīnijas Ministru kabineta noteikumu par specifiskā atbalsta mērķa īstenošanu izstrādei Eiropas Savienības fondu 2021.—2027. gada plānošanas periodā" 4.punktam.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Pasākuma ietvaros plānotais kopējais finansējums ir 1 740 000 euro (tai skaitā elastības finansējuma apjoms 274 528 euro), tai skaitā Eiropas Sociālā fonda Plus finansējums 1 479 000 euro (tai skaitā elastības finansējuma apjoms 233 349 euro) un valsts budžeta līdzfinansējums– 261 000 euro (tai skaitā elastības finansējuma apjoms 41 179 euro). Maksimālais Eiropas Sociālā fonda Plus finansējuma apmērs nepārsniedz 85 % no projekta kopējā attiecināmā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Projektu iesniegumos pasākuma īstenošanai kopējo pasākuma pieejamo finansējumu plāno ne vairāk kā 1 465 472 euro apmērā, tai skaitā Eiropas Sociālā fonda Plus finansējumu – 1 245 651 euro apmērā, valsts budžeta līdzfinansējumu – 219 821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Atbildīgā iestāde pēc Eiropas Komisijas lēmuma par vidusposma pārskatu var ierosināt no 2026. gada 1. janvāra palielināt pasākumam pieejamo kopējo finansējumu līdz šo noteikumu 6. punktā minētajam plānotajam kopējam finansējuma apmēram.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Ozoliņa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Pasākuma ietvaros Eiropas Savienības fondu vadībā iesaistītās atbildīgās iestādes funkcijas pilda Valsts kanceleja (turpmāk – atbildīgā iestāde).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9.punktā vārdus "Eiropas Savienības vadībā iesaistītās", lai nodrošinātu vienotas normas lietošanu visos Eiropas Savienības fondu regulējošos normatīvos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Sadarbības partneris saskaņā ar šo noteikumu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minētā sadarbības līguma nosacījumiem atbilstoši kompetencei var piedalīties projekta īstenošanā, lai sniegtu kvalitatīvu ieguldījumu pilsoniskā dialoga attīstībā, un:</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no 12.1. līdz 12.4.apakšpunktam iekļaut atsauces uz konkrētām šo MK noteikumu darbībām, kuru ietvaros var tikt piesaistīti arī sadarbības partneri.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Zemture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Finansējuma saņēmējs ar sadarbības partneri slēdz sadarbības līgumu atbilstoši normatīvajiem aktiem par kārtību, kādā Eiropas Savienības fondu vadībā iesaistītās institūcijas nodrošina Eiropas Savienības fondu ieviešanu 2021.–2027. gada plānošanas periodā. Sadarbības līgums nosaka savstarpējo atbildību, funkcijas, finansēšanas mehānismu, pārskatu sniegšanas kārtību, pienākumus projekta sekmīgai īstenošanai, kā arī ietver sadarbības partnera apliecinājumu, ka pasākuma ietvaros saņemtais finansējums netiks izmantots saimnieciskās darbības veikšanai.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noteikumu projekta 14.punktā vārdus "Eiropas Savienības" ar vārdu "šo" aiz vārda "nodrošina". Attiecīgu precizējumu lūdzam veikt arī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apņemšanos sadarboties projekta īstenošanā, tai skaitā noslēgt sadarbības līgumu, ja projekta iesniegums tiks apstiprināts;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apakšpunktu, ka sadarbības partneris apzinās/apliecina, ka projekta ietvaros saņemtais finansējums netiks izmantots saimnieciskās darbības veikšanai.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Tokareva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Projekta iesniedzējs saskaņā ar projektu iesniegumu atlases nolikumu sagatavo projekta iesniegumu un iesniedz to sadarbības iestādē, izmantojot Kohēzijas politikas fondu vadības informācijas sistēmu. Ja sadarbības iestāde apstiprina projekta iesniegumu, projekta iesniedzējs ir arī finansējuma saņēmējs.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pārcelt noteikumu projekta 16.punktu aiz noteikumu projekta 10.punkta, lai nodrošinātu normu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Pasākuma ietvaros ir atbalstāmas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pasākuma iznākuma rādītāju (biedrības un nodibinājumi, kas saņēmuši atbalstu), lūdzam skaidrot, kāds atbalsts tiks sniegts biedrībām un nodibinājumiem un kurās darbībās tiks iesaistīta pasākuma mērķa grupa.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Zemture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19.2.1. pakalpojumu (tai skaitā uzņēmuma līgumu) izmaksas šo noteikumu </w:t>
            </w:r>
            <w:r w:rsidR="00000000" w:rsidRPr="00000000" w:rsidDel="00000000">
              <w:rPr>
                <w:rtl w:val="0"/>
              </w:rPr>
              <w:t xml:space="preserve">17.1.</w:t>
            </w:r>
            <w:r w:rsidR="00000000" w:rsidRPr="00000000" w:rsidDel="00000000">
              <w:rPr>
                <w:rtl w:val="0"/>
              </w:rPr>
              <w:t xml:space="preserve"> , </w:t>
            </w:r>
            <w:r w:rsidR="00000000" w:rsidRPr="00000000" w:rsidDel="00000000">
              <w:rPr>
                <w:rtl w:val="0"/>
              </w:rPr>
              <w:t xml:space="preserve">17.2.</w:t>
            </w:r>
            <w:r w:rsidR="00000000" w:rsidRPr="00000000" w:rsidDel="00000000">
              <w:rPr>
                <w:rtl w:val="0"/>
              </w:rPr>
              <w:t xml:space="preserve"> , </w:t>
            </w:r>
            <w:r w:rsidR="00000000" w:rsidRPr="00000000" w:rsidDel="00000000">
              <w:rPr>
                <w:rtl w:val="0"/>
              </w:rPr>
              <w:t xml:space="preserve">17.3.</w:t>
            </w:r>
            <w:r w:rsidR="00000000" w:rsidRPr="00000000" w:rsidDel="00000000">
              <w:rPr>
                <w:rtl w:val="0"/>
              </w:rPr>
              <w:t xml:space="preserve"> , </w:t>
            </w:r>
            <w:r w:rsidR="00000000" w:rsidRPr="00000000" w:rsidDel="00000000">
              <w:rPr>
                <w:rtl w:val="0"/>
              </w:rPr>
              <w:t xml:space="preserve">17.4.</w:t>
            </w:r>
            <w:r w:rsidR="00000000" w:rsidRPr="00000000" w:rsidDel="00000000">
              <w:rPr>
                <w:rtl w:val="0"/>
              </w:rPr>
              <w:t xml:space="preserve"> , </w:t>
            </w:r>
            <w:r w:rsidR="00000000" w:rsidRPr="00000000" w:rsidDel="00000000">
              <w:rPr>
                <w:rtl w:val="0"/>
              </w:rPr>
              <w:t xml:space="preserve">17.5.</w:t>
            </w:r>
            <w:r w:rsidR="00000000" w:rsidRPr="00000000" w:rsidDel="00000000">
              <w:rPr>
                <w:rtl w:val="0"/>
              </w:rPr>
              <w:t xml:space="preserve"> un </w:t>
            </w:r>
            <w:r w:rsidR="00000000" w:rsidRPr="00000000" w:rsidDel="00000000">
              <w:rPr>
                <w:rtl w:val="0"/>
              </w:rPr>
              <w:t xml:space="preserve">17.6.</w:t>
            </w:r>
            <w:r w:rsidR="00000000" w:rsidRPr="00000000" w:rsidDel="00000000">
              <w:rPr>
                <w:rtl w:val="0"/>
              </w:rPr>
              <w:t xml:space="preserve"> apakšpunktā minēto atbalstāmo darbību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atsauci arī uz 17.7.apakšpunktu.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19.2.1. pakalpojumu (tai skaitā uzņēmuma līgumu) izmaksas šo noteikumu 17.1. , 17.2. , 17.3. , 17.4. , 17.5., 17.6 un 17.7. apakšpunktā minēto atbalstāmo darbību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Zemture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19.2.3. ārvalstu komandējumu izmaksas projekta vadītājam un īstenošanas personālam, iekšzemes komandējumu un darba braucienu izmaksas, kā arī mācību maksa atbilstoši normatīvajiem aktiem par </w:t>
            </w:r>
            <w:r w:rsidR="00000000" w:rsidRPr="00000000" w:rsidDel="00000000">
              <w:rPr>
                <w:rtl w:val="0"/>
              </w:rPr>
              <w:t xml:space="preserve">kārtību, kādā atlīdzināmi ar komandējumiem saistītie izdevumi</w:t>
            </w:r>
            <w:r w:rsidR="00000000" w:rsidRPr="00000000" w:rsidDel="00000000">
              <w:rPr>
                <w:rtl w:val="0"/>
              </w:rPr>
              <w:t xml:space="preserve">. Iekšzemes komandējumu izmaksas tiek segtas atbilstoši vadošās iestādes izstrādātajai metodikai "Vienas vienības izmaksu standarta likmes aprēķina un piemērošanas metodika iekšzemes komandējumu izmaksām darbības programmas "Izaugsme un nodarbinātība" un Eiropas Savienības kohēzijas politikas programmas 2021.–2027. gadam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ārzemju komandējumi ir paredzēti ES dalībvalstīs vai arī ir paredzēti ārpus ES. Papildus lūdzam precizēt, vai ārvalstu komandējumu izmaksas ir attiecināmas tikai finansējuma saņēmēja vai arī sadarbības partnera projekta īstenošanas personālam, kā arī precizēt, kuru atbalstāmo darbību īstenošanai nepieciešami ārvalstu komandējumi.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Zemture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19.2.5. transporta izmaksas (maksa par degvielu, transportlīdzekļu noma, transporta pakalpojumu pirkšana, maksa par sabiedriskā transporta izmantošanu) atbilstoši vadošās iestādes izstrādātajai metodikai "Vienas vienības izmaksu standarta likmes aprēķina un piemērošanas metodika 1 km izmaksām darbības programmas "Izaugsme un nodarbinātība" un Eiropas Savienības kohēzijas politikas programmas 2021.–2027. gadam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uz "transporta pakalpojumu izmaksas", kā arī, ņemot vērā, ka minētajā metodikā nav noteiktas vienkāršoto izmaksu likmes transportlīdzekļu nomai un transporta pakalpojumu pirkšanai, izvērtēt, vai apakšpunkta redakcija nav redakcionāli precizējama.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19.2.6. projekta informācijas un publicitātes pasākumu izmaksas atbilstoši normatīvajiem aktiem par Eiropas Savienības fondu ieviešanu 2021.–2027. gada plānošanas periodā un Eiropas Savienības fondu 2021.–2027. gada plānošanas perioda un Atveseļošanas fonda komunikācijas un dizaina vadlīnijām šo noteikumu </w:t>
            </w:r>
            <w:r w:rsidR="00000000" w:rsidRPr="00000000" w:rsidDel="00000000">
              <w:rPr>
                <w:rtl w:val="0"/>
              </w:rPr>
              <w:t xml:space="preserve">17.7. </w:t>
            </w:r>
            <w:r w:rsidR="00000000" w:rsidRPr="00000000" w:rsidDel="00000000">
              <w:rPr>
                <w:rtl w:val="0"/>
              </w:rPr>
              <w:t xml:space="preserve">apakšpunktā</w:t>
            </w:r>
            <w:r w:rsidR="00000000" w:rsidRPr="00000000" w:rsidDel="00000000">
              <w:rPr>
                <w:rtl w:val="0"/>
              </w:rPr>
              <w:t xml:space="preserve"> minētās atbalstāmās darbības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vārdus "atbilstoši normatīvajiem aktiem par Eiropas Savienības fondu ieviešanu 2021.–2027. gada plānošanas periodā un Eiropas Savienības fondu 2021.–2027. gada plānošanas perioda un Atveseļošanas fonda komunikācijas un dizaina vadlīnijām šo noteikumu 17.7. apakšpunktā minētās atbalstāmās darbības īstenošanai", ievērojot, ka informācijas un publicitātes pasākumu īstenošanas nosacījumi noteikti noteikumu projekta 26.2.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19.2.7. citas informatīvo un izglītojošo pasākumu īstenošanas izmaksas šo noteikumu </w:t>
            </w:r>
            <w:r w:rsidR="00000000" w:rsidRPr="00000000" w:rsidDel="00000000">
              <w:rPr>
                <w:rtl w:val="0"/>
              </w:rPr>
              <w:t xml:space="preserve">17.6. </w:t>
            </w:r>
            <w:r w:rsidR="00000000" w:rsidRPr="00000000" w:rsidDel="00000000">
              <w:rPr>
                <w:rtl w:val="0"/>
              </w:rPr>
              <w:t xml:space="preserve">apakšpunktā</w:t>
            </w:r>
            <w:r w:rsidR="00000000" w:rsidRPr="00000000" w:rsidDel="00000000">
              <w:rPr>
                <w:rtl w:val="0"/>
              </w:rPr>
              <w:t xml:space="preserve"> minētās atbalstāmās darbības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šai izmaksu pozīcijai paredzēt limitu, kā arī anotācijā norādīt kādu citu informatīvo un publicitātes pasākumu īstenošana ir atbalstāma pasākuma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Tokareva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Pasākuma atbalstāmo darbību ietvaros ir attiecināms pievienotās vērtības nodoklis tiešajām attiecināmajām izmaksām atbilstoši Eiropas Parlamenta un Padomes 2021. gada 24. jūnija Regula (ES) </w:t>
            </w:r>
            <w:r w:rsidR="00000000" w:rsidRPr="00000000" w:rsidDel="00000000">
              <w:rPr>
                <w:rtl w:val="0"/>
              </w:rPr>
              <w:t xml:space="preserve">Nr. 2021/1060</w:t>
            </w:r>
            <w:r w:rsidR="00000000" w:rsidRPr="00000000" w:rsidDel="00000000">
              <w:rPr>
                <w:rtl w:val="0"/>
              </w:rPr>
              <w:t xml:space="preserve">,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64. panta 1. punkta "c" apakšpunkta nosacījumiem, ja tas nav atgūstams atbilstoši normatīvajiem aktiem nodokļu politikas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Finanšu ministrijas vadlīniju Nr.1.2. "Vadlīnijas attiecināmo izmaksu noteikšanai Eiropas Savienības kohēzijas politikas programmas 2021.-2027.gada plānošanas periodā" 19.1.apakšpunktam projektiem, kuru kopējās izmaksas ir mazākas par 5 milj.EUR (ieskaitot PVN) un nav iesaistīts komercdarbības atbalsts (t.sk. de minimis), ir iespējams piemērot vienkāršotu PVN attiecināšanas shēmu, proti uzreiz PVN līdzekļus attiecinot no ES fondu projekta. Līdz ar to aicinām izvērtēt, vai teikuma daļa "ja tas nav atgūstams atbilstoši normatīvajiem aktiem nodokļu politikas jomā" nav dzēšama. Vienlaikus, ja izvērtējuma rezultātā tiek secināts izmantot vienkāršoto pieeju, lūdzam anotācijā papildināt ar skaidrojumu, ka tiks nodrošināts dubultā finansējuma novēršanas risks.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 datu uzkrāšanu par šo noteikumu </w:t>
            </w:r>
            <w:r w:rsidR="00000000" w:rsidRPr="00000000" w:rsidDel="00000000">
              <w:rPr>
                <w:rtl w:val="0"/>
              </w:rPr>
              <w:t xml:space="preserve">5. </w:t>
            </w:r>
            <w:r w:rsidR="00000000" w:rsidRPr="00000000" w:rsidDel="00000000">
              <w:rPr>
                <w:rtl w:val="0"/>
              </w:rPr>
              <w:t xml:space="preserve">punktā</w:t>
            </w:r>
            <w:r w:rsidR="00000000" w:rsidRPr="00000000" w:rsidDel="00000000">
              <w:rPr>
                <w:rtl w:val="0"/>
              </w:rPr>
              <w:t xml:space="preserve"> minētā rezultāta rādītāja – 50 pilsoniskās sabiedrības organizācijas 6 mēnešu laikā pēc iesaistes projekta darbībās sniegušas atzinumus par rīcībpolitikas plānošanas dokumentiem un normatīvajiem aktiem – sasniegšanu.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rādītāja nosaukumu atbilstoši Programmā noteiktajam vai svītrot vārdus "– 50 pilsoniskās sabiedrības organizācijas 6 mēnešu laikā pēc iesaistes projekta darbībās sniegušas atzinumus par rīcībpolitikas plānošanas dokumentiem un normatīvajiem aktiem –", ievērojot, ka rādītāju, par kuriem uzkrājami dati, nosaukumi minēti noteikumu projekta I. sadaļā "Vispārīgie jautājumi"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Finansējuma saņēmējs ir atbildīgs par sadarbības partnera pienākumu izpildi projekta īstenošanā un sadarbības partnera īstenotajām funkcijām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svītrot noteikumu projekta 29.punktu, minētais dublē Ministru kabineta noteikumu "Kārtība, kādā Eiropas Savienības fondu vadībā iesaistītās institūcijas nodrošina šo fondu ieviešanu 2021.–2027.gada plānošanas periodā" (šobrīd saskaņošanas stadijā) 3.punktā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1.3.sadaļas apakšsadaļas "Atbalstāmās darbības un izmaksas" astoto rindkopu, nosakot, ka saskaņojums par vienkāršoto izmaksu metodiku ir no Finanšu ministrijas kā vadošās iestādes.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1.3.sadaļas apakšadaļas "Atbalstāmās darbības un izmaksas" trešo rindkopu ar vārdiem "kā sadarbības iestāde" aiz vārda aģentūra.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iekļaut skaidrojumu, kādēļ no finansējuma saņēmēja (Sabiedrības integrācijas fonda) noteikumu ietvaros netiek pieprasīts apliecinājums, ka pasākuma ietvaros saņemtais finansējums netiks izmantots saimnieciskās darbības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Vītoliņš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2.sadaļu ar ietekmi uz finansējuma saņēmēju un tā sadarbības partneri, kuriem ar noteikumu projektu paredzēts īstenot projektu un veikt noteikumu projektā noteiktos pienākumus.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precizēt 2. rindkopā norādīto informāciju, ievērojot, ka 4.3.4.5.pasākuma kritēriji jau ir izskatīti š.g. 27.aprīlī.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to, vai pasākuma ietvaros īstenotie projekti un minētās atbalstāmās darbības veicinās Eiropas Savienības stratēģijā Baltijas jūras reģionam (ESSBJR) noteikto mērķu sasniegšanu. Vēršam uzmanību, ka atbilstoši Programmā norādītajam 4.3.4.SAM ietvaros plānots īstenot darbības, kas kopumā sniegs ieguldījumu dzimumu līdztiesības principa kā ESSBJR caurvijoša principa īstenošanā.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23-TA-760</w:t>
    </w:r>
    <w:r>
      <w:br/>
    </w:r>
    <w:r w:rsidR="00000000" w:rsidRPr="00000000" w:rsidDel="00000000">
      <w:rPr>
        <w:rtl w:val="0"/>
      </w:rPr>
      <w:t xml:space="preserve">Izdrukāts 16.05.2023. 11.46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23-TA-760</w:t>
    </w:r>
    <w:r>
      <w:br/>
    </w:r>
    <w:r w:rsidR="00000000" w:rsidRPr="00000000" w:rsidDel="00000000">
      <w:rPr>
        <w:rtl w:val="0"/>
      </w:rPr>
      <w:t xml:space="preserve">Izdrukāts 16.05.2023. 11.46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Atzinumi_23-TA-760.docx</dc:title>
</cp:coreProperties>
</file>

<file path=docProps/custom.xml><?xml version="1.0" encoding="utf-8"?>
<Properties xmlns="http://schemas.openxmlformats.org/officeDocument/2006/custom-properties" xmlns:vt="http://schemas.openxmlformats.org/officeDocument/2006/docPropsVTypes"/>
</file>