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27. oktobra noteikumos Nr. 652 "Darbības programmas "Izaugsme un nodarbinātība" prioritārā virziena "Ilgtspējīga transporta sistēma" 6.1.2. specifiskā atbalsta mērķa "Veicināt drošību un vides prasību ievērošanu starptautiskajā lidostā "Rīga""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tiks veikti grozījumi līgumā par projekta Nr. 6.1.2.0/16/I/001 "Drošas un videi draudzīgas infrastruktūras attīstība Starptautiskā lidostā “Rīga”" īstenošanu, un vienlaikus lūdzam norādīt, vai grozījumi līgumā par projekta īstenošanu tiek uzskatīti par būtiskiem un ietekmē projekta ietvaros veicamo darbību veidu, projekta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sniegt informāciju par aizdevuma līdzekļiem, ņemot vērā, ka tādi kā avots paredzēti noteikumu projekta 2.punktā, kas paredz papildināt noteikumus ar 30.</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Izmaksas, ko Kohēzijas fonda projekta ietvaros finansējuma saņēmējs veic pēc 2023. gada 31. decembra, pilnā apmērā tiek segtas no finansējuma saņēmēja vai aizdevuma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komercdarbības atbalsta piešķiršanas nosacījumu pārkāpuma risku, kas izpaužas kā papildus komercdarbības atbalsta piešķiršana jau uzsāktajā projektā, lūdzam precizēt noteikumu projekta normu 30.</w:t>
            </w:r>
            <w:r w:rsidR="00000000" w:rsidRPr="00000000" w:rsidDel="00000000">
              <w:rPr>
                <w:vertAlign w:val="superscript"/>
                <w:rtl w:val="0"/>
              </w:rPr>
              <w:t xml:space="preserve">1</w:t>
            </w:r>
            <w:r w:rsidR="00000000" w:rsidRPr="00000000" w:rsidDel="00000000">
              <w:rPr>
                <w:rtl w:val="0"/>
              </w:rPr>
              <w:t xml:space="preserve"> punktu, skaidri nosakot, ka izmaksas pilnā apmērā tiks segtas no finansējuma saņēmēja vai aizdevuma līdzekļiem, </w:t>
            </w:r>
            <w:r w:rsidR="00000000" w:rsidRPr="00000000" w:rsidDel="00000000">
              <w:rPr>
                <w:u w:val="single"/>
                <w:rtl w:val="0"/>
              </w:rPr>
              <w:t xml:space="preserve">kas ir brīvi no jebkāda komercdarbības atbalsta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tiek konstatēts, ka ir pārkāptas šajos noteikumos noteiktās komercdarbības atbalsta kontroles normas, tostarp nosacījumi, kas izriet no Regulas Nr. 651/2014, sadarbības iestāde finansējuma saņēmējam uzliek par pienākumu atmaksāt sadarbības iestādei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6.1.2. pasākuma ietvaros komercdarbības atbalsts tiek sniegts saskaņā ar Eiropas Komisijas pamatnostādnēm par valsts atbalstu lidostām un aviokompānijām (2014/C 99/03), nevis Komisijas regulu Nr. 651/2014, lūdzam precizēt noteikumu projekta 43. punktu, izsakot to,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šajos noteikumos noteiktās komercdarbības atbalsta piešķiršanas prasības lidostu un aviokompāniju atbalsta jomā, finansējuma saņēmējam ir pienākums atmaksāt sadarbības iestādei projekta ietvaros saņemto nelikumīgo komercdarbības atbalstu kopā ar procentiem no līdzekļiem, kas brīvi no komercdarbības atbalsta, saskaņā ar Komercdarbības atbalsta kontroles likuma IV vai V nodaļu.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23-TA-3065</w:t>
    </w:r>
    <w:r>
      <w:br/>
    </w:r>
    <w:r w:rsidR="00000000" w:rsidRPr="00000000" w:rsidDel="00000000">
      <w:rPr>
        <w:rtl w:val="0"/>
      </w:rPr>
      <w:t xml:space="preserve">Izdrukāts 08.12.2023.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23-TA-3065</w:t>
    </w:r>
    <w:r>
      <w:br/>
    </w:r>
    <w:r w:rsidR="00000000" w:rsidRPr="00000000" w:rsidDel="00000000">
      <w:rPr>
        <w:rtl w:val="0"/>
      </w:rPr>
      <w:t xml:space="preserve">Izdrukāts 08.12.2023.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Atzinumi_23-TA-3065.docx</dc:title>
</cp:coreProperties>
</file>

<file path=docProps/custom.xml><?xml version="1.0" encoding="utf-8"?>
<Properties xmlns="http://schemas.openxmlformats.org/officeDocument/2006/custom-properties" xmlns:vt="http://schemas.openxmlformats.org/officeDocument/2006/docPropsVTypes"/>
</file>