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Sodu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Iekšlietu ministrijas ieskatā kriminālprocesa mērķa sasniegšana netiks būtiski kavēta, ja nekādi dati par personām, pret kurām kriminālprocess ir izbeigts uz reabilitējoša pamata, un par attaisnotām personām netiks uzglabāti Sodu reģistra arhīva datubāzē arī tad, ja tie būtu nepieciešami kriminālprocesa atjaunošanai sakarā ar jaunatklātiem apstākļiem. Attiecīgie grozījumi Sodu reģistra likumā tiek pamatoti ar iespēju nepieciešamos datus iegūt no Kriminālprocesa informācijas sistēmas un nākotnē no e-lietas platformas. Savukārt no Satversmes tiesas 22.12.2022. sprieduma lietā Nr.2022-09-01 (18.pkt.) secināms, ka attiecīgie dati jau ir pieejami Iekšlietu ministrijas integrētajā informācijas sistēmā un Iekšlietu ministrijas Informācijas centra arhīvā uzglabātajās krimināllietās. Sakarā ar minēto anotācija būtu papildināma ar normatīvajos tiesību aktos balstītu izvērtējumu tam, vai kriminālprocesa atjaunošanai nepieciešamie dati ir pieejami kriminālatbildības noilguma termiņā. Vienlaikus Kriminālprocesa likuma efektīvai piemērošanai norādāms, kur konkrēti šie dati tiesībsargājošajām iestādēm ir pieejami. Jāņem vērā, ka saskaņā ar Krimināllikuma 56.panta pirmās daļas 5.punktu un 57.pantu kriminālatbildības noilgums attiecīgi par noziegumiem, par kuriem saskaņā ar likumu var piespriest mūža ieslodzījumu, un par noziegumiem pret cilvēci, pret mieru, par kara noziegumiem un par piedalīšanos genocīdā neiestājas, taču arī šādus kriminālprocesus ir jāspēj efektīvi atjaunot sakarā ar jaunatklātiem apstākļiem.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Čevers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14.07.2023.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14.07.2023.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Atzinumi_23-TA-615.docx</dc:title>
</cp:coreProperties>
</file>

<file path=docProps/custom.xml><?xml version="1.0" encoding="utf-8"?>
<Properties xmlns="http://schemas.openxmlformats.org/officeDocument/2006/custom-properties" xmlns:vt="http://schemas.openxmlformats.org/officeDocument/2006/docPropsVTypes"/>
</file>