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Credit Solutions_Ārpus TAP iebildumi_CPL_izziņa)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Credit Solutions Ārpus TAP iebildumi_Sankciju likums_izziņa)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Credit Solutions Ārpus TAP iebildumi_Reklāmas lik_izziņa)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Credit Solutions Ārpus TAP iebildumi_Preču un pakalpojumu piekļust. likums_izziņa)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Credit Solutions Ārpus TAP iebildumi_NILLTPFNL_izziņa)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Credit Solutions Ārpus TAP iebildumi_NKAL_izziņa)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pants. "</w:t>
            </w:r>
            <w:r w:rsidR="00000000" w:rsidRPr="00000000" w:rsidDel="00000000">
              <w:rPr>
                <w:b w:val="1"/>
                <w:rtl w:val="0"/>
              </w:rPr>
              <w:t xml:space="preserve">VIII</w:t>
            </w:r>
            <w:r w:rsidR="00000000" w:rsidRPr="00000000" w:rsidDel="00000000">
              <w:rPr>
                <w:b w:val="1"/>
                <w:vertAlign w:val="superscript"/>
                <w:rtl w:val="0"/>
              </w:rPr>
              <w:t xml:space="preserve">1</w:t>
            </w:r>
            <w:r w:rsidR="00000000" w:rsidRPr="00000000" w:rsidDel="00000000">
              <w:rPr>
                <w:b w:val="1"/>
                <w:rtl w:val="0"/>
              </w:rPr>
              <w:t xml:space="preserve"> nodaļa</w:t>
            </w:r>
            <w:r w:rsidR="00000000" w:rsidRPr="00000000" w:rsidDel="00000000">
              <w:rPr>
                <w:b w:val="1"/>
                <w:rtl w:val="0"/>
              </w:rPr>
              <w:t xml:space="preserve">Atbildība par patērētāju tiesību pārkāpumiem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w:t>
            </w:r>
            <w:r w:rsidR="00000000" w:rsidRPr="00000000" w:rsidDel="00000000">
              <w:rPr>
                <w:b w:val="1"/>
                <w:rtl w:val="0"/>
              </w:rPr>
              <w:t xml:space="preserve">Atbildība par patērētāju tiesību pārkāpumiem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to prasību neievērošanu, kuras piemērojamas patērētāja kreditēšanai pret kustamas lietas ķīlu Latvijas Banka piemēro brīdinājumu vai soda naudu juridiskajai personai līdz 4300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darba laika prasību neievērošanu patērētāju kreditēšanā Latvijas Banka piemēro brīdinājumu vai soda naudu juridiskajai personai līdz 4300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kredīta starpnieka un kredīta starpnieka pārstāvja, kas piedāvā patērētājam kredītu, kura atmaksa nodrošināta ar nekustamā īpašuma hipotēku vai kura mērķis ir iegūt vai saglabāt tiesības uz nekustamo īpašumu, darbību bez reģistrēšanās Kredīta starpnieku un kredīta starpnieku pārstāvju reģistrā, Latvijas Banka piemēro soda naudu fiziskajai personai, tostarp valdes loceklim vai pilnsabiedrības biedram, no 280 </w:t>
            </w:r>
            <w:r w:rsidR="00000000" w:rsidRPr="00000000" w:rsidDel="00000000">
              <w:rPr>
                <w:i w:val="1"/>
                <w:rtl w:val="0"/>
              </w:rPr>
              <w:t xml:space="preserve">euro</w:t>
            </w:r>
            <w:r w:rsidR="00000000" w:rsidRPr="00000000" w:rsidDel="00000000">
              <w:rPr>
                <w:rtl w:val="0"/>
              </w:rPr>
              <w:t xml:space="preserve"> līdz 800 </w:t>
            </w:r>
            <w:r w:rsidR="00000000" w:rsidRPr="00000000" w:rsidDel="00000000">
              <w:rPr>
                <w:i w:val="1"/>
                <w:rtl w:val="0"/>
              </w:rPr>
              <w:t xml:space="preserve">euro</w:t>
            </w:r>
            <w:r w:rsidR="00000000" w:rsidRPr="00000000" w:rsidDel="00000000">
              <w:rPr>
                <w:rtl w:val="0"/>
              </w:rPr>
              <w:t xml:space="preserve">, bet juridiskajai personai – no 600 </w:t>
            </w:r>
            <w:r w:rsidR="00000000" w:rsidRPr="00000000" w:rsidDel="00000000">
              <w:rPr>
                <w:i w:val="1"/>
                <w:rtl w:val="0"/>
              </w:rPr>
              <w:t xml:space="preserve">euro</w:t>
            </w:r>
            <w:r w:rsidR="00000000" w:rsidRPr="00000000" w:rsidDel="00000000">
              <w:rPr>
                <w:rtl w:val="0"/>
              </w:rPr>
              <w:t xml:space="preserve"> līdz 3000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patērētāju kreditēšanas pakalpojumu sniegšanu bez speciālās atļaujas (licences) vai par patērētāju kreditēšanas pakalpojumu sniegšanas turpināšanu pēc speciālās atļaujas (licences) atņemšanas vai anulēšanas Latvijas Banka piemēro soda naudu fiziskajai personai, tostarp valdes loceklim, no 280 </w:t>
            </w:r>
            <w:r w:rsidR="00000000" w:rsidRPr="00000000" w:rsidDel="00000000">
              <w:rPr>
                <w:i w:val="1"/>
                <w:rtl w:val="0"/>
              </w:rPr>
              <w:t xml:space="preserve">euro</w:t>
            </w:r>
            <w:r w:rsidR="00000000" w:rsidRPr="00000000" w:rsidDel="00000000">
              <w:rPr>
                <w:rtl w:val="0"/>
              </w:rPr>
              <w:t xml:space="preserve"> līdz 2000 </w:t>
            </w:r>
            <w:r w:rsidR="00000000" w:rsidRPr="00000000" w:rsidDel="00000000">
              <w:rPr>
                <w:i w:val="1"/>
                <w:rtl w:val="0"/>
              </w:rPr>
              <w:t xml:space="preserve">euro</w:t>
            </w:r>
            <w:r w:rsidR="00000000" w:rsidRPr="00000000" w:rsidDel="00000000">
              <w:rPr>
                <w:rtl w:val="0"/>
              </w:rPr>
              <w:t xml:space="preserve">, aizliedzot valdes loceklim ieņemt noteiktus amatus komercsabiedrībās vai bez tā, bet juridiskajai personai – no 2500 </w:t>
            </w:r>
            <w:r w:rsidR="00000000" w:rsidRPr="00000000" w:rsidDel="00000000">
              <w:rPr>
                <w:i w:val="1"/>
                <w:rtl w:val="0"/>
              </w:rPr>
              <w:t xml:space="preserve">euro</w:t>
            </w:r>
            <w:r w:rsidR="00000000" w:rsidRPr="00000000" w:rsidDel="00000000">
              <w:rPr>
                <w:rtl w:val="0"/>
              </w:rPr>
              <w:t xml:space="preserve"> līdz 75 000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w:t>
            </w:r>
            <w:r w:rsidR="00000000" w:rsidRPr="00000000" w:rsidDel="00000000">
              <w:rPr>
                <w:b w:val="1"/>
                <w:vertAlign w:val="superscript"/>
                <w:rtl w:val="0"/>
              </w:rPr>
              <w:t xml:space="preserve">2</w:t>
            </w:r>
            <w:r w:rsidR="00000000" w:rsidRPr="00000000" w:rsidDel="00000000">
              <w:rPr>
                <w:b w:val="1"/>
                <w:rtl w:val="0"/>
              </w:rPr>
              <w:t xml:space="preserve"> pants. Lēmumu pārsūdzēšanas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lēmumu tā adresāts var pārsūdzēt Administratīvajā rajona tiesā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w:t>
            </w:r>
            <w:r w:rsidR="00000000" w:rsidRPr="00000000" w:rsidDel="00000000">
              <w:rPr>
                <w:b w:val="1"/>
                <w:vertAlign w:val="superscript"/>
                <w:rtl w:val="0"/>
              </w:rPr>
              <w:t xml:space="preserve">3</w:t>
            </w:r>
            <w:r w:rsidR="00000000" w:rsidRPr="00000000" w:rsidDel="00000000">
              <w:rPr>
                <w:b w:val="1"/>
                <w:rtl w:val="0"/>
              </w:rPr>
              <w:t xml:space="preserve"> pants. Noilgums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Banka ir tiesīga ierosināt lietu viena gada laikā no pārkāpuma izdarīšanas dienas, bet, ja pārkāpums ir ilgstošs, – no pārkāpuma izbeigšanas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noteiktā noilguma termiņa skaitīšanu aptur ar lietas ierosināšanas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par šajā likumā noteikto sankciju Latvijas Banka pieņem viena mēneša laikā no lietas ierosināšanas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objektīvu iemeslu dēļ šā panta pirmajā daļā noteikto termiņu nav iespējams ievērot, to var pagarināt uz laiku, kas nepārsniedz četrus mēnešus no lietas ierosināšanas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ir nepieciešams veikt ekspertīzi, lietu izskata un lēmumu pieņem sešu mēnešu laikā no lietas ierosināšanas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Latvijas Banka izbeidz lietu, ja šajā pantā noteiktajā termiņā nav pieņemts lēmums par šajā likumā noteikto sankciju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21. pantā ietvertajā Patērētāju tiesību aizsardzības likuma 36.</w:t>
            </w:r>
            <w:r w:rsidR="00000000" w:rsidRPr="00000000" w:rsidDel="00000000">
              <w:rPr>
                <w:vertAlign w:val="superscript"/>
                <w:rtl w:val="0"/>
              </w:rPr>
              <w:t xml:space="preserve">3</w:t>
            </w:r>
            <w:r w:rsidR="00000000" w:rsidRPr="00000000" w:rsidDel="00000000">
              <w:rPr>
                <w:rtl w:val="0"/>
              </w:rPr>
              <w:t xml:space="preserve"> panta ceturtajā daļā precizēt atsauci uz panta daļu, ņemot vērā to, ka, visticamāk, domāta atsauce uz panta trešo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pants. Izslēgt 37. panta astoto un devīto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Precizējams projekta 23. un 24. pants. Nav pieļaujama situācija, ka identiska satura pārkāpumi pastāv gan kā administratīvais pārkāpums, gan paredzēta administratīvā sankcija finanšu pakalpojumu jomā (Patērētāju tiesību aizsardzības likuma 37. panta otrā un trešā daļa un projektā ietvertā grozāmā likuma 36.</w:t>
            </w:r>
            <w:r w:rsidR="00000000" w:rsidRPr="00000000" w:rsidDel="00000000">
              <w:rPr>
                <w:b w:val="1"/>
                <w:vertAlign w:val="superscript"/>
                <w:rtl w:val="0"/>
              </w:rPr>
              <w:t xml:space="preserve">1</w:t>
            </w:r>
            <w:r w:rsidR="00000000" w:rsidRPr="00000000" w:rsidDel="00000000">
              <w:rPr>
                <w:b w:val="1"/>
                <w:rtl w:val="0"/>
              </w:rPr>
              <w:t xml:space="preserve"> panta pirmā un otrā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saņemta Finanšu ministrijas informācija, ka likumprojekts tiks precizēts, paredzot izslēgt grozāmā likuma 37. panta otro, trešo, astoto un devīto daļu. Attiecīgi tiks precizēts arī kompetences regulējums grozāmā likuma 38. panta pirmajā, trešajā, ceturtajā un sestajā daļā. Šāda veida precizējumi ir atbalstāmi un novērsīs iespējamo neatbilstību administratīvo pārkāpumu formulēšanas prasībām un atbildības sistēmai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pants. "46. Šā likuma 8. panta 1.</w:t>
            </w:r>
            <w:r w:rsidR="00000000" w:rsidRPr="00000000" w:rsidDel="00000000">
              <w:rPr>
                <w:vertAlign w:val="superscript"/>
                <w:rtl w:val="0"/>
              </w:rPr>
              <w:t xml:space="preserve">5</w:t>
            </w:r>
            <w:r w:rsidR="00000000" w:rsidRPr="00000000" w:rsidDel="00000000">
              <w:rPr>
                <w:rtl w:val="0"/>
              </w:rPr>
              <w:t xml:space="preserve"> un 1.</w:t>
            </w:r>
            <w:r w:rsidR="00000000" w:rsidRPr="00000000" w:rsidDel="00000000">
              <w:rPr>
                <w:vertAlign w:val="superscript"/>
                <w:rtl w:val="0"/>
              </w:rPr>
              <w:t xml:space="preserve">6</w:t>
            </w:r>
            <w:r w:rsidR="00000000" w:rsidRPr="00000000" w:rsidDel="00000000">
              <w:rPr>
                <w:rtl w:val="0"/>
              </w:rPr>
              <w:t xml:space="preserve"> daļa,  8.</w:t>
            </w:r>
            <w:r w:rsidR="00000000" w:rsidRPr="00000000" w:rsidDel="00000000">
              <w:rPr>
                <w:vertAlign w:val="superscript"/>
                <w:rtl w:val="0"/>
              </w:rPr>
              <w:t xml:space="preserve">2</w:t>
            </w:r>
            <w:r w:rsidR="00000000" w:rsidRPr="00000000" w:rsidDel="00000000">
              <w:rPr>
                <w:rtl w:val="0"/>
              </w:rPr>
              <w:t xml:space="preserve"> panta ceturtā un piektā daļa, 24. panta trešā daļa, 25.</w:t>
            </w:r>
            <w:r w:rsidR="00000000" w:rsidRPr="00000000" w:rsidDel="00000000">
              <w:rPr>
                <w:vertAlign w:val="superscript"/>
                <w:rtl w:val="0"/>
              </w:rPr>
              <w:t xml:space="preserve">3 </w:t>
            </w:r>
            <w:r w:rsidR="00000000" w:rsidRPr="00000000" w:rsidDel="00000000">
              <w:rPr>
                <w:rtl w:val="0"/>
              </w:rPr>
              <w:t xml:space="preserve">pants, 26.</w:t>
            </w:r>
            <w:r w:rsidR="00000000" w:rsidRPr="00000000" w:rsidDel="00000000">
              <w:rPr>
                <w:vertAlign w:val="superscript"/>
                <w:rtl w:val="0"/>
              </w:rPr>
              <w:t xml:space="preserve">1</w:t>
            </w:r>
            <w:r w:rsidR="00000000" w:rsidRPr="00000000" w:rsidDel="00000000">
              <w:rPr>
                <w:rtl w:val="0"/>
              </w:rPr>
              <w:t xml:space="preserve"> panta desmitās daļas 5. punkts un X nodaļa, kā arī grozījumi šā likuma 8.</w:t>
            </w:r>
            <w:r w:rsidR="00000000" w:rsidRPr="00000000" w:rsidDel="00000000">
              <w:rPr>
                <w:vertAlign w:val="superscript"/>
                <w:rtl w:val="0"/>
              </w:rPr>
              <w:t xml:space="preserve">2</w:t>
            </w:r>
            <w:r w:rsidR="00000000" w:rsidRPr="00000000" w:rsidDel="00000000">
              <w:rPr>
                <w:rtl w:val="0"/>
              </w:rPr>
              <w:t xml:space="preserve"> panta otrajā daļā, 24. panta otrajā daļā, 25. panta ceturtajā daļā, 26.</w:t>
            </w:r>
            <w:r w:rsidR="00000000" w:rsidRPr="00000000" w:rsidDel="00000000">
              <w:rPr>
                <w:vertAlign w:val="superscript"/>
                <w:rtl w:val="0"/>
              </w:rPr>
              <w:t xml:space="preserve">2</w:t>
            </w:r>
            <w:r w:rsidR="00000000" w:rsidRPr="00000000" w:rsidDel="00000000">
              <w:rPr>
                <w:rtl w:val="0"/>
              </w:rPr>
              <w:t xml:space="preserve"> pantā, 26.</w:t>
            </w:r>
            <w:r w:rsidR="00000000" w:rsidRPr="00000000" w:rsidDel="00000000">
              <w:rPr>
                <w:vertAlign w:val="superscript"/>
                <w:rtl w:val="0"/>
              </w:rPr>
              <w:t xml:space="preserve">13</w:t>
            </w:r>
            <w:r w:rsidR="00000000" w:rsidRPr="00000000" w:rsidDel="00000000">
              <w:rPr>
                <w:rtl w:val="0"/>
              </w:rPr>
              <w:t xml:space="preserve"> pantā, 26.</w:t>
            </w:r>
            <w:r w:rsidR="00000000" w:rsidRPr="00000000" w:rsidDel="00000000">
              <w:rPr>
                <w:vertAlign w:val="superscript"/>
                <w:rtl w:val="0"/>
              </w:rPr>
              <w:t xml:space="preserve">14</w:t>
            </w:r>
            <w:r w:rsidR="00000000" w:rsidRPr="00000000" w:rsidDel="00000000">
              <w:rPr>
                <w:rtl w:val="0"/>
              </w:rPr>
              <w:t xml:space="preserve"> pantā, 26.</w:t>
            </w:r>
            <w:r w:rsidR="00000000" w:rsidRPr="00000000" w:rsidDel="00000000">
              <w:rPr>
                <w:vertAlign w:val="superscript"/>
                <w:rtl w:val="0"/>
              </w:rPr>
              <w:t xml:space="preserve">15</w:t>
            </w:r>
            <w:r w:rsidR="00000000" w:rsidRPr="00000000" w:rsidDel="00000000">
              <w:rPr>
                <w:rtl w:val="0"/>
              </w:rPr>
              <w:t xml:space="preserve"> pantā, 26.</w:t>
            </w:r>
            <w:r w:rsidR="00000000" w:rsidRPr="00000000" w:rsidDel="00000000">
              <w:rPr>
                <w:vertAlign w:val="superscript"/>
                <w:rtl w:val="0"/>
              </w:rPr>
              <w:t xml:space="preserve">16</w:t>
            </w:r>
            <w:r w:rsidR="00000000" w:rsidRPr="00000000" w:rsidDel="00000000">
              <w:rPr>
                <w:rtl w:val="0"/>
              </w:rPr>
              <w:t xml:space="preserve"> pantā, 26.</w:t>
            </w:r>
            <w:r w:rsidR="00000000" w:rsidRPr="00000000" w:rsidDel="00000000">
              <w:rPr>
                <w:vertAlign w:val="superscript"/>
                <w:rtl w:val="0"/>
              </w:rPr>
              <w:t xml:space="preserve">17</w:t>
            </w:r>
            <w:r w:rsidR="00000000" w:rsidRPr="00000000" w:rsidDel="00000000">
              <w:rPr>
                <w:rtl w:val="0"/>
              </w:rPr>
              <w:t xml:space="preserve"> pantā, 26.</w:t>
            </w:r>
            <w:r w:rsidR="00000000" w:rsidRPr="00000000" w:rsidDel="00000000">
              <w:rPr>
                <w:vertAlign w:val="superscript"/>
                <w:rtl w:val="0"/>
              </w:rPr>
              <w:t xml:space="preserve">18</w:t>
            </w:r>
            <w:r w:rsidR="00000000" w:rsidRPr="00000000" w:rsidDel="00000000">
              <w:rPr>
                <w:rtl w:val="0"/>
              </w:rPr>
              <w:t xml:space="preserve"> pantā, 26.</w:t>
            </w:r>
            <w:r w:rsidR="00000000" w:rsidRPr="00000000" w:rsidDel="00000000">
              <w:rPr>
                <w:vertAlign w:val="superscript"/>
                <w:rtl w:val="0"/>
              </w:rPr>
              <w:t xml:space="preserve">21</w:t>
            </w:r>
            <w:r w:rsidR="00000000" w:rsidRPr="00000000" w:rsidDel="00000000">
              <w:rPr>
                <w:rtl w:val="0"/>
              </w:rPr>
              <w:t xml:space="preserve"> pantā, 26.</w:t>
            </w:r>
            <w:r w:rsidR="00000000" w:rsidRPr="00000000" w:rsidDel="00000000">
              <w:rPr>
                <w:vertAlign w:val="superscript"/>
                <w:rtl w:val="0"/>
              </w:rPr>
              <w:t xml:space="preserve">27</w:t>
            </w:r>
            <w:r w:rsidR="00000000" w:rsidRPr="00000000" w:rsidDel="00000000">
              <w:rPr>
                <w:rtl w:val="0"/>
              </w:rPr>
              <w:t xml:space="preserve"> pantā  26.</w:t>
            </w:r>
            <w:r w:rsidR="00000000" w:rsidRPr="00000000" w:rsidDel="00000000">
              <w:rPr>
                <w:vertAlign w:val="superscript"/>
                <w:rtl w:val="0"/>
              </w:rPr>
              <w:t xml:space="preserve">28</w:t>
            </w:r>
            <w:r w:rsidR="00000000" w:rsidRPr="00000000" w:rsidDel="00000000">
              <w:rPr>
                <w:rtl w:val="0"/>
              </w:rPr>
              <w:t xml:space="preserve"> pantā un 26.</w:t>
            </w:r>
            <w:r w:rsidR="00000000" w:rsidRPr="00000000" w:rsidDel="00000000">
              <w:rPr>
                <w:vertAlign w:val="superscript"/>
                <w:rtl w:val="0"/>
              </w:rPr>
              <w:t xml:space="preserve">31</w:t>
            </w:r>
            <w:r w:rsidR="00000000" w:rsidRPr="00000000" w:rsidDel="00000000">
              <w:rPr>
                <w:rtl w:val="0"/>
              </w:rPr>
              <w:t xml:space="preserve"> pantā saistībā ar finanšu pakalpojumu jomas uzraudzības nodošanu Latvijas Bankai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Grozījumi šā likuma IX nodaļas nosaukumā, 37. pantā attiecībā uz astotās un devītās daļas izslēgšanu un 38. panta pirmajā un sestajā daļā saistībā ar iestāžu kompetenci administratīvā pārkāpuma procesa īstenošanā stājas spēkā 2027.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9. panta 2.</w:t>
            </w:r>
            <w:r w:rsidR="00000000" w:rsidRPr="00000000" w:rsidDel="00000000">
              <w:rPr>
                <w:vertAlign w:val="superscript"/>
                <w:rtl w:val="0"/>
              </w:rPr>
              <w:t xml:space="preserve">1</w:t>
            </w:r>
            <w:r w:rsidR="00000000" w:rsidRPr="00000000" w:rsidDel="00000000">
              <w:rPr>
                <w:rtl w:val="0"/>
              </w:rPr>
              <w:t xml:space="preserve"> daļa, 10. panta trešā daļa un 17. panta 3.</w:t>
            </w:r>
            <w:r w:rsidR="00000000" w:rsidRPr="00000000" w:rsidDel="00000000">
              <w:rPr>
                <w:vertAlign w:val="superscript"/>
                <w:rtl w:val="0"/>
              </w:rPr>
              <w:t xml:space="preserve">1</w:t>
            </w:r>
            <w:r w:rsidR="00000000" w:rsidRPr="00000000" w:rsidDel="00000000">
              <w:rPr>
                <w:rtl w:val="0"/>
              </w:rPr>
              <w:t xml:space="preserve"> daļa un grozījumi šā likuma 8. panta 1.</w:t>
            </w:r>
            <w:r w:rsidR="00000000" w:rsidRPr="00000000" w:rsidDel="00000000">
              <w:rPr>
                <w:vertAlign w:val="superscript"/>
                <w:rtl w:val="0"/>
              </w:rPr>
              <w:t xml:space="preserve">3</w:t>
            </w:r>
            <w:r w:rsidR="00000000" w:rsidRPr="00000000" w:rsidDel="00000000">
              <w:rPr>
                <w:rtl w:val="0"/>
              </w:rPr>
              <w:t xml:space="preserve"> daļā un ceturtajā daļā un 8.</w:t>
            </w:r>
            <w:r w:rsidR="00000000" w:rsidRPr="00000000" w:rsidDel="00000000">
              <w:rPr>
                <w:vertAlign w:val="superscript"/>
                <w:rtl w:val="0"/>
              </w:rPr>
              <w:t xml:space="preserve">2</w:t>
            </w:r>
            <w:r w:rsidR="00000000" w:rsidRPr="00000000" w:rsidDel="00000000">
              <w:rPr>
                <w:rtl w:val="0"/>
              </w:rPr>
              <w:t xml:space="preserve"> panta trešajā daļā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Līdz 2028. gada 1. janvārim, kad Ministru kabineta 2016. gada 25. oktobra noteikumi Nr. 691 "Noteikumi par patērētāja kreditēšanu", Ministru kabineta 2011. gada 29. marta noteikumi Nr. 245 "Noteikumi par speciālo atļauju (licenci) patērētāju kreditēšanas pakalpojumu sniegšanai", Ministru kabineta 2016. gada 13. decembra noteikumi Nr.772 "Kredīta starpnieku un kredīta starpnieku pārstāvju reģistrācijas noteikumi" un Ministru kabineta 2014. gada 21. oktobra noteikumi Nr.648 "Noteikumi par distances līgumu par finanšu pakalpojumu sniegšanu" zaudēs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šajos noteikumos lietoto nosaukumu "Patērētāju tiesību aizsardzības centrs" saprot nosaukumu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nepiemēro minēto noteikumu regulējumu par valsts nodevu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Līdz grozījumu izdarīšanai  Ministru kabineta 1999. gada 18. maija noteikumos Nr.178 "Kārtība, kādā norādāmas preču un pakalpojumu cenas" šo noteikumu ievērošanu attiecībā uz finanšu pakalpojumu jomu kontrolē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Patērētāju tiesību aizsardzības centra līdz 2026. gada 31. decembrim izsniegtās speciālās atļaujas (licences) patērētāju kreditēšanas pakalpojumu sniegšanai, kā arī kredīta starpnieku, to pārstāvju reģistrācija paliek spēkā arī pēc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Patērētāju kreditēšanas pakalpojumu sniedzēji, kredīta starpnieki, kredīta starpnieka pārstāvji, kuriem saskaņā ar šo likumu ir pienākums maksāt valsts nodevu par to darbības uzraudzību, nemaksā valsts nodevu par 2027.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Līdz 2026. gada 31. decembrim saskaņā ar šo likumu uzsāktos un nepabeigtos kreditēšanas pakalpojuma sniedzēju licencēšanas, kredītu starpnieku un to pārstāvju reģistrēšanas, kā arī administratīvo lietu un administratīvo pārkāpumu lietu procesus finanšu pakalpojumu jomā Patērētāju tiesību aizsardzības centrs pabeidz, piemērojot tās tiesību normas, kas bija spēkā attiecīgā procesa uzsākšanas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Patērētāju tiesību aizsardzības centrs līdz 2026. gada 31. decembrim nodod Latvijas Bankai dokumentus, informāciju, datubāzes un reģistrus, kas saistīti ar patērētāju kreditēšanas pakalpojumu sniedzēju, kredīta starpnieku un to pārstāvju uzraudzību, izņemot tos dokumentus un informāciju, kas nepieciešami iesākto procesu pabeigšanai. Dokumentus un informāciju, kas nepieciešami iesākto procesu pabeigšanai, nodod pēc šo procesu pabeigšanas.  Latvijas Banka trīs dienu laikā pēc informācijas no Patērētāju tiesību centra saņemšanas par reģistrācijas procesa pabeigšanu veic attiecīgās izmaiņas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Tiesvedībās finanšu pakalpojumu jomā, kas uzsāktas līdz 2027. gada 1. janvārim un nav pabeigtas līdz šā likuma grozījumu attiecībā uz finanšu pakalpojumu jomas uzraudzības nodošanu Latvijas Bankai spēkā stāšanās dienai, Patērētāju tiesību aizsardzības centrs saglabā atbildētāja statusu līdz dienai, kad stājas spēkā galīgais tiesas nolēmums.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Latvijas Banka, pārņemot patērētāju tiesību aizsardzības uzraudzības funkciju finanšu pakalpojumu jomā, neuzņemas atbildību par tiešiem vai netiešiem zaudējumiem, kas izriet no prasījumiem attiecībā uz Patērētāju tiesību aizsardzības centra pieņemtajiem lēmumiem vai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2027., 2028. un 2029. gadā šā likuma 8. panta 1.</w:t>
            </w:r>
            <w:r w:rsidR="00000000" w:rsidRPr="00000000" w:rsidDel="00000000">
              <w:rPr>
                <w:vertAlign w:val="superscript"/>
                <w:rtl w:val="0"/>
              </w:rPr>
              <w:t xml:space="preserve">6</w:t>
            </w:r>
            <w:r w:rsidR="00000000" w:rsidRPr="00000000" w:rsidDel="00000000">
              <w:rPr>
                <w:rtl w:val="0"/>
              </w:rPr>
              <w:t xml:space="preserve"> daļā noteiktā kapitālsabiedrības, kas saņēmusi speciālo atļauju (licenci), kopējā maksa Latvijas Bankai nepārsniedz 55 000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Projektā un tā anotācijā nodrošināma lietoto terminu atbilstība Administratīvās atbildības 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paredzētajā pārejas noteikumu 53. punktā lietots neatbilstošs procesa veida apzīmējums. Tas ir administratīvā pārkāpuma process, nevis "administratīvo pārkāpumu lietu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projekta anotācijā vairākkārt izmantoti neatbilstoši termini. Administratīvā pārkāpuma lieta ir materiālu kopums. Jautājumu par atbildības piemērošanu izlemj administratīvā pārkāpuma procesā (nav, piemēram, "lietvedība administratīvā pārkāpuma lietā", "administratīvā pārkāpuma lieta"). Tā formālais sākums ir lēmums par administratīvā pārkāpuma procesa uzsākšanu (nav, piemēram, "administratīvā pārkāpuma lietas uzsākšana", ierosināšana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norādīts: "Latvijas Banka administratīvajai atbildībai līdzīgos piespiedu ietekmēšanas līdzekļus (sankcijas un uzraudzības pasākumus) piemēro Administratīvā procesa likumā noteiktajā kārtībā." Administratīvajai atbildībai līdzīgi piespiedu ietekmēšanas līdzekļi ir sodi jeb krimināltiesiska (sodoša) rakstura administratīvas sankcijas. Savukārt uzraudzības pasākumiem ir atšķirīgs raksturs vai vismaz tādam būtu jābūt, ja šie pasākumi ir pareizi noteikti. Tie ir uzraudzības (kontroles) pasākumi, kam nepiemīt sodošs raksturs. Tādējādi tos nevar dēvēt par administratīvajai atbildībai līdzīgiem piespiedu ietekmēšanas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vispārējā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projekta spēkā stāšanās noteikumu, ņemot vērā to, ka, ja projekts stājas spēkā vispārējā kārtībā, šāds noteikums projektā nav ietverams.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anotācijas 4.1.15. apakšpunktu, ņemot vērā to, ka atbilstoši projekta 4. pantā ietvertajai Patērētāju tiesību aizsardzības likuma 10. panta trešajai daļai minētās normas otrā daļa neattiecas uz finanšu pakalpojumu jomu. Savukārt Ministru kabineta 2014. gada 21. oktobra noteikumi Nr. 648 "Noteikumi par distances līgumu par finanšu pakalpojumu sniegšanu" attiecas tikai uz finanšu pakalpojumu jomu, tādējādi tie ir atzīstami par spēku zaudējušiem, nevis papildināmi ar norādi, ka tie neattiecas uz finanšu pakalpojumu jomu. Vienlaikus aicinām projekta 25. pantā ietvertajā Patērētāju tiesību aizsardzības likuma pārejas noteikumu 49. punktā izslēgt atsauci uz šiem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projekts neparedz izteikt visu Patērētāju tiesību aizsardzības likuma 8.</w:t>
            </w:r>
            <w:r w:rsidR="00000000" w:rsidRPr="00000000" w:rsidDel="00000000">
              <w:rPr>
                <w:vertAlign w:val="superscript"/>
                <w:rtl w:val="0"/>
              </w:rPr>
              <w:t xml:space="preserve">2</w:t>
            </w:r>
            <w:r w:rsidR="00000000" w:rsidRPr="00000000" w:rsidDel="00000000">
              <w:rPr>
                <w:rtl w:val="0"/>
              </w:rPr>
              <w:t xml:space="preserve"> panta trešo daļu jaunā redakcijā, bet tikai aizstāt attiecīgos vārdus, atkārtoti aicinām attiecīgi precizēt projekta anotācijas 4.1.17.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likumprojekts "Grozījumi Maksājumu pakalpojumu un elektroniskās naudas likumā" (26-TA-747) neparedz izteikt visu Maksājumu pakalpojumu un elektroniskās naudas likuma 46.</w:t>
            </w:r>
            <w:r w:rsidR="00000000" w:rsidRPr="00000000" w:rsidDel="00000000">
              <w:rPr>
                <w:vertAlign w:val="superscript"/>
                <w:rtl w:val="0"/>
              </w:rPr>
              <w:t xml:space="preserve">1</w:t>
            </w:r>
            <w:r w:rsidR="00000000" w:rsidRPr="00000000" w:rsidDel="00000000">
              <w:rPr>
                <w:rtl w:val="0"/>
              </w:rPr>
              <w:t xml:space="preserve"> panta otro daļu jaunā redakcijā, bet paredz tikai aizstāt attiecīgos vārdus, atkārtoti aicinām attiecīgi precizēt projekta anotācijas 4.1.18.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26-TA-744</w:t>
    </w:r>
    <w:r>
      <w:br/>
    </w:r>
    <w:r w:rsidR="00000000" w:rsidRPr="00000000" w:rsidDel="00000000">
      <w:rPr>
        <w:rtl w:val="0"/>
      </w:rPr>
      <w:t xml:space="preserve">Izdrukāts 08.05.2026. 08.26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26-TA-744</w:t>
    </w:r>
    <w:r>
      <w:br/>
    </w:r>
    <w:r w:rsidR="00000000" w:rsidRPr="00000000" w:rsidDel="00000000">
      <w:rPr>
        <w:rtl w:val="0"/>
      </w:rPr>
      <w:t xml:space="preserve">Izdrukāts 08.05.2026. 08.26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Atzinumi_26-TA-744.docx</dc:title>
</cp:coreProperties>
</file>

<file path=docProps/custom.xml><?xml version="1.0" encoding="utf-8"?>
<Properties xmlns="http://schemas.openxmlformats.org/officeDocument/2006/custom-properties" xmlns:vt="http://schemas.openxmlformats.org/officeDocument/2006/docPropsVTypes"/>
</file>