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3929E5" w:rsidRDefault="003929E5" w:rsidP="003929E5">
      <w:pPr>
        <w:rPr>
          <w:rFonts w:eastAsia="Times New Roman"/>
          <w:lang w:val="en-US"/>
        </w:rPr>
      </w:pPr>
      <w:r>
        <w:rPr>
          <w:rFonts w:eastAsia="Times New Roman"/>
          <w:b/>
          <w:bCs/>
          <w:lang w:val="en-US"/>
        </w:rPr>
        <w:t>From:</w:t>
      </w:r>
      <w:r>
        <w:rPr>
          <w:rFonts w:eastAsia="Times New Roman"/>
          <w:lang w:val="en-US"/>
        </w:rPr>
        <w:t xml:space="preserve"> knab@knab.gov.lv &lt;knab@knab.gov.lv&gt; </w:t>
      </w:r>
      <w:r>
        <w:rPr>
          <w:rFonts w:eastAsia="Times New Roman"/>
          <w:lang w:val="en-US"/>
        </w:rPr>
        <w:br/>
      </w:r>
      <w:r>
        <w:rPr>
          <w:rFonts w:eastAsia="Times New Roman"/>
          <w:b/>
          <w:bCs/>
          <w:lang w:val="en-US"/>
        </w:rPr>
        <w:t>Sent:</w:t>
      </w:r>
      <w:r>
        <w:rPr>
          <w:rFonts w:eastAsia="Times New Roman"/>
          <w:lang w:val="en-US"/>
        </w:rPr>
        <w:t xml:space="preserve"> Wednesday, July 15, 2020 4:36 PM</w:t>
      </w:r>
      <w:r>
        <w:rPr>
          <w:rFonts w:eastAsia="Times New Roman"/>
          <w:lang w:val="en-US"/>
        </w:rPr>
        <w:br/>
      </w:r>
      <w:r>
        <w:rPr>
          <w:rFonts w:eastAsia="Times New Roman"/>
          <w:b/>
          <w:bCs/>
          <w:lang w:val="en-US"/>
        </w:rPr>
        <w:t>To:</w:t>
      </w:r>
      <w:r>
        <w:rPr>
          <w:rFonts w:eastAsia="Times New Roman"/>
          <w:lang w:val="en-US"/>
        </w:rPr>
        <w:t xml:space="preserve"> Valsts Kanceleja &lt;vk@mk.gov.lv&gt;</w:t>
      </w:r>
      <w:r>
        <w:rPr>
          <w:rFonts w:eastAsia="Times New Roman"/>
          <w:lang w:val="en-US"/>
        </w:rPr>
        <w:br/>
      </w:r>
      <w:r>
        <w:rPr>
          <w:rFonts w:eastAsia="Times New Roman"/>
          <w:b/>
          <w:bCs/>
          <w:lang w:val="en-US"/>
        </w:rPr>
        <w:t>Cc:</w:t>
      </w:r>
      <w:r>
        <w:rPr>
          <w:rFonts w:eastAsia="Times New Roman"/>
          <w:lang w:val="en-US"/>
        </w:rPr>
        <w:t xml:space="preserve"> </w:t>
      </w:r>
      <w:proofErr w:type="spellStart"/>
      <w:r>
        <w:rPr>
          <w:rFonts w:eastAsia="Times New Roman"/>
          <w:lang w:val="en-US"/>
        </w:rPr>
        <w:t>Kristīne</w:t>
      </w:r>
      <w:proofErr w:type="spellEnd"/>
      <w:r>
        <w:rPr>
          <w:rFonts w:eastAsia="Times New Roman"/>
          <w:lang w:val="en-US"/>
        </w:rPr>
        <w:t xml:space="preserve"> Stone &lt;Kristine.Stone@mk.gov.lv&gt;</w:t>
      </w:r>
      <w:r>
        <w:rPr>
          <w:rFonts w:eastAsia="Times New Roman"/>
          <w:lang w:val="en-US"/>
        </w:rPr>
        <w:br/>
      </w:r>
      <w:r>
        <w:rPr>
          <w:rFonts w:eastAsia="Times New Roman"/>
          <w:b/>
          <w:bCs/>
          <w:lang w:val="en-US"/>
        </w:rPr>
        <w:t>Subject:</w:t>
      </w:r>
      <w:r>
        <w:rPr>
          <w:rFonts w:eastAsia="Times New Roman"/>
          <w:lang w:val="en-US"/>
        </w:rPr>
        <w:t xml:space="preserve"> </w:t>
      </w:r>
      <w:proofErr w:type="spellStart"/>
      <w:r>
        <w:rPr>
          <w:rFonts w:eastAsia="Times New Roman"/>
          <w:lang w:val="en-US"/>
        </w:rPr>
        <w:t>Fw</w:t>
      </w:r>
      <w:proofErr w:type="spellEnd"/>
      <w:r>
        <w:rPr>
          <w:rFonts w:eastAsia="Times New Roman"/>
          <w:lang w:val="en-US"/>
        </w:rPr>
        <w:t xml:space="preserve">: TAP VSS-64 </w:t>
      </w:r>
      <w:proofErr w:type="spellStart"/>
      <w:r>
        <w:rPr>
          <w:rFonts w:eastAsia="Times New Roman"/>
          <w:lang w:val="en-US"/>
        </w:rPr>
        <w:t>precizētais</w:t>
      </w:r>
      <w:proofErr w:type="spellEnd"/>
      <w:r>
        <w:rPr>
          <w:rFonts w:eastAsia="Times New Roman"/>
          <w:lang w:val="en-US"/>
        </w:rPr>
        <w:t xml:space="preserve"> </w:t>
      </w:r>
      <w:proofErr w:type="spellStart"/>
      <w:r>
        <w:rPr>
          <w:rFonts w:eastAsia="Times New Roman"/>
          <w:lang w:val="en-US"/>
        </w:rPr>
        <w:t>piecu</w:t>
      </w:r>
      <w:proofErr w:type="spellEnd"/>
      <w:r>
        <w:rPr>
          <w:rFonts w:eastAsia="Times New Roman"/>
          <w:lang w:val="en-US"/>
        </w:rPr>
        <w:t xml:space="preserve"> </w:t>
      </w:r>
      <w:proofErr w:type="spellStart"/>
      <w:r>
        <w:rPr>
          <w:rFonts w:eastAsia="Times New Roman"/>
          <w:lang w:val="en-US"/>
        </w:rPr>
        <w:t>darbdienu</w:t>
      </w:r>
      <w:proofErr w:type="spellEnd"/>
      <w:r>
        <w:rPr>
          <w:rFonts w:eastAsia="Times New Roman"/>
          <w:lang w:val="en-US"/>
        </w:rPr>
        <w:t xml:space="preserve"> </w:t>
      </w:r>
      <w:proofErr w:type="spellStart"/>
      <w:r>
        <w:rPr>
          <w:rFonts w:eastAsia="Times New Roman"/>
          <w:lang w:val="en-US"/>
        </w:rPr>
        <w:t>saskaņošanai</w:t>
      </w:r>
      <w:proofErr w:type="spellEnd"/>
      <w:r>
        <w:rPr>
          <w:rFonts w:eastAsia="Times New Roman"/>
          <w:lang w:val="en-US"/>
        </w:rPr>
        <w:t xml:space="preserve"> [C225791100409ED1C22585A6004A956F]</w:t>
      </w:r>
    </w:p>
    <w:p w:rsidR="003929E5" w:rsidRDefault="003929E5" w:rsidP="003929E5"/>
    <w:p w:rsidR="003929E5" w:rsidRDefault="003929E5" w:rsidP="003929E5">
      <w:pPr>
        <w:pStyle w:val="NormalWeb"/>
        <w:spacing w:after="240" w:afterAutospacing="0"/>
      </w:pPr>
      <w:r>
        <w:rPr>
          <w:rFonts w:ascii="Times New Roman" w:hAnsi="Times New Roman" w:cs="Times New Roman"/>
          <w:sz w:val="24"/>
          <w:szCs w:val="24"/>
        </w:rPr>
        <w:t>Labdien!</w:t>
      </w:r>
      <w:r>
        <w:br/>
      </w:r>
      <w:r>
        <w:br/>
      </w:r>
      <w:r>
        <w:rPr>
          <w:rFonts w:ascii="Times New Roman" w:hAnsi="Times New Roman" w:cs="Times New Roman"/>
          <w:i/>
          <w:iCs/>
          <w:sz w:val="24"/>
          <w:szCs w:val="24"/>
        </w:rPr>
        <w:t xml:space="preserve">Par likumprojektu "Valsts un pašvaldību institūciju </w:t>
      </w:r>
      <w:r>
        <w:br/>
      </w:r>
      <w:r>
        <w:rPr>
          <w:rFonts w:ascii="Times New Roman" w:hAnsi="Times New Roman" w:cs="Times New Roman"/>
          <w:i/>
          <w:iCs/>
          <w:sz w:val="24"/>
          <w:szCs w:val="24"/>
        </w:rPr>
        <w:t>amatpersonu un darbinieku atlīdzības likums"</w:t>
      </w:r>
      <w:r>
        <w:br/>
      </w:r>
      <w:r>
        <w:br/>
      </w:r>
      <w:r>
        <w:rPr>
          <w:rFonts w:ascii="Times New Roman" w:hAnsi="Times New Roman" w:cs="Times New Roman"/>
          <w:sz w:val="24"/>
          <w:szCs w:val="24"/>
        </w:rPr>
        <w:t>Korupcijas novēršanas un apkarošanas birojs (turpmāk – Birojs) savas kompetences ietvaros ir izvērtējis Valsts kancelejas precizēto likumprojektu "Valsts un pašvaldību institūciju amatpersonu un darbinieku atlīdzības likums" (turpmāk – likumprojekts), tā sākotnējās ietekmes novērtējuma ziņojumu (turpmāk – anotācija) un izziņu par atzinumos sniegtajiem iebildumiem (turpmāk – izziņa) un informē, ka atbalsta likumprojekta un tā anotācijas tālāku virzību, vienlaikus norādot uz likumprojektā noteikto nevienlīdzīgo attieksmi pret Biroja amatpersonām:</w:t>
      </w:r>
      <w:r>
        <w:br/>
      </w:r>
      <w:r>
        <w:rPr>
          <w:rFonts w:ascii="Times New Roman" w:hAnsi="Times New Roman" w:cs="Times New Roman"/>
          <w:sz w:val="24"/>
          <w:szCs w:val="24"/>
        </w:rPr>
        <w:t xml:space="preserve">1. Birojs atkārtoti vērš uzmanību, ka Satversmes tiesa, vērtējot līdzīgu institūciju funkcijas, atzinusi, ka Biroja amatpersonas, iekšlietu sistēmas amatpersonas ar speciālajām dienesta pakāpēm un prokurori ir tādas amatpersonas, kas tieši saistītas gan ar izmeklēšanu, gan operatīvo darbību, līdz ar to ir arī savstarpēji salīdzināmas un atrodas vienādos apstākļos </w:t>
      </w:r>
      <w:r>
        <w:rPr>
          <w:rFonts w:ascii="Times New Roman" w:hAnsi="Times New Roman" w:cs="Times New Roman"/>
          <w:i/>
          <w:iCs/>
          <w:sz w:val="24"/>
          <w:szCs w:val="24"/>
        </w:rPr>
        <w:t>(sk. Satversmes tiesas 2013. gada 8. novembra spriedumu lietā Nr. 2013-01-01)</w:t>
      </w:r>
      <w:r>
        <w:rPr>
          <w:rFonts w:ascii="Times New Roman" w:hAnsi="Times New Roman" w:cs="Times New Roman"/>
          <w:sz w:val="24"/>
          <w:szCs w:val="24"/>
        </w:rPr>
        <w:t xml:space="preserve">. Attiecīgi, lai likumprojektā mazinātu nevienlīdzīgo attieksmi pret Biroja un iekšlietu sistēmas amatpersonām ar speciālajām dienesta pakāpēm Birojs 2020.gada 14.februāra atzinumā Nr. 1/859 izteica iebildumu Nr.3, kas nav ņemts vērā (izziņas I sadaļas 72. punkts). Minētā iebilduma mērķis bija likumprojekta 41.panta trešajā un sestajā daļā paredzēto sociālo garantiju – vienreizēju pabalstu 12 mēnešalgu apmērā, bet ne mazāku kā 10 000 </w:t>
      </w:r>
      <w:proofErr w:type="spellStart"/>
      <w:r>
        <w:rPr>
          <w:rFonts w:ascii="Times New Roman" w:hAnsi="Times New Roman" w:cs="Times New Roman"/>
          <w:i/>
          <w:iCs/>
          <w:sz w:val="24"/>
          <w:szCs w:val="24"/>
        </w:rPr>
        <w:t>euro</w:t>
      </w:r>
      <w:proofErr w:type="spellEnd"/>
      <w:r>
        <w:rPr>
          <w:rFonts w:ascii="Times New Roman" w:hAnsi="Times New Roman" w:cs="Times New Roman"/>
          <w:sz w:val="24"/>
          <w:szCs w:val="24"/>
        </w:rPr>
        <w:t> amatpersonas nāves gadījumā piešķirt tās radiniekiem – attiecināt arī uz Biroja amatpersonu radiniekiem, līdzīgi kā tas paredzēts Iekšlietu ministrijas sistēmas iestāžu un Ieslodzījuma vietu pārvaldes amatpersonu ar speciālo dienesta pakāpi un valsts drošības iestāžu amatpersonu nāves gadījumā. Izziņā pamatojums iebilduma noraidījumam minēts, ka minētie pabalsti Valsts un pašvaldību institūciju amatpersonu un darbinieku atlīdzības likumā ietverti pēc Zolitūdes traģēdijas, tostarp ar mērķi pilnveidot sociālo garantiju sistēmu Iekšlietu ministrijas sistēmas iestāžu un Ieslodzījuma vietu pārvaldes amatpersonām ar speciālajām dienesta pakāpēm. Birojs norāda, ka minētie grozījumi Valsts un pašvaldību institūciju amatpersonu un darbinieku atlīdzības likumā tika pieņemti 2013.gada 19.decembrī un tie stājās spēkā 2014.gada 1.janvārī. Birojs norāda, ka minēto grozījumu anotācijā kā viens no pamatojumiem, cita starpā, minēts arī zemais atlīdzības līmenis iekšlietu sistēmas iestāžu amatpersonām ar speciālajām dienesta pakāpēm. Birojs vērš uzmanību, ka kopš minēto grozījumu spēkā stāšanās atalgojuma jautājums krasi ir mainījies. Valsts kontrole revīzijas ziņojumā "Par Korupcijas novēršanas un apkarošanas biroja 2019.gada pārskatu" ir norādījusi, ka salīdzināmiem amatiem maksimālais mēnešalgas apmērs Valsts policijas Galvenās Kriminālpolicijas pārvaldes Ekonomisko noziegumu apkarošanas pārvaldē ir augstāks, nekā Birojā. Tādējādi Birojs nevar piekrist, ka atsaucoties uz grozījumu pieņemšanas apstākļiem un mērķi, viennozīmīgi konstatējams, ka šis regulējums nebūtu attiecināms arī uz Biroja amatpersonām. It īpaši tāpēc, ka pirms Biroja izveidošanas vēlāk tam nodotās funkcijas galvenokārt veikušas dažādas Iekšlietu ministrijas sistēmas iestādes.</w:t>
      </w:r>
      <w:r>
        <w:br/>
      </w:r>
      <w:r>
        <w:rPr>
          <w:rFonts w:ascii="Times New Roman" w:hAnsi="Times New Roman" w:cs="Times New Roman"/>
          <w:sz w:val="24"/>
          <w:szCs w:val="24"/>
        </w:rPr>
        <w:t xml:space="preserve">2. Likumprojekta 47.panta piektā daļa paredz, ka Biroja amatpersona pēc katriem pieciem </w:t>
      </w:r>
      <w:r>
        <w:rPr>
          <w:rFonts w:ascii="Times New Roman" w:hAnsi="Times New Roman" w:cs="Times New Roman"/>
          <w:sz w:val="24"/>
          <w:szCs w:val="24"/>
        </w:rPr>
        <w:lastRenderedPageBreak/>
        <w:t xml:space="preserve">nepārtrauktas izdienas gadiem Birojā saņem vienreizēju pabalstu triju mēnešalgu apmērā atbilstoši pēdējam amatam. Savukārt likumprojekta pārejas noteikuma 6.punkts paredz, ka izdienu Birojā šā likuma 47.panta piektajā daļā minētā pabalsta saņemšanai skaita no 2019.gada 1.janvāra un šo pabalstu amatpersonai izmaksā vienreiz, sākot ar 2024.gada 1.janvāri līdz 2028. gada 31.decembrim. Vēršam uzmanību, ka Valsts un pašvaldību institūciju amatpersonu un darbinieku atlīdzības likuma pārejas noteikumu 41.punkts nosaka, ka izdienu Birojā šā likuma 25.panta piektajā daļā minētā pabalsta saņemšanai sāk skaitīt no 2019.gada 1.janvāra un šo pabalstu izmaksā, sākot ar 2024.gada 1.janvāri. Vienlaikus likumprojekta pārejas noteikumu 3.punkts attiecībā uz Iekšlietu ministrijas sistēmas vai Ieslodzījuma vietu pārvaldes amatpersonu ar speciālo dienesta pakāpi saglabā šā brīža Valsts un pašvaldību institūciju amatpersonu un darbinieku atlīdzības likuma pārejas noteikumu 6.prim punktā paredzēto regulējumu, ka izdienu Iekšlietu ministrijas sistēmā vai Ieslodzījuma vietu pārvaldē šā likuma 25.panta ceturtajā daļā minētā pabalsta saņemšanai sāk skaitīt no 2014.gada 1.janvāra un šo pabalstu izmaksā, sākot ar 2019.gada 1.janvāri. Tādējādi attiecībā uz Biroja amatpersonām pretēji likumprojekta anotācijā (47.lpp) norādītajam, likumprojekta </w:t>
      </w:r>
      <w:proofErr w:type="spellStart"/>
      <w:r>
        <w:rPr>
          <w:rFonts w:ascii="Times New Roman" w:hAnsi="Times New Roman" w:cs="Times New Roman"/>
          <w:sz w:val="24"/>
          <w:szCs w:val="24"/>
        </w:rPr>
        <w:t>pārējas</w:t>
      </w:r>
      <w:proofErr w:type="spellEnd"/>
      <w:r>
        <w:rPr>
          <w:rFonts w:ascii="Times New Roman" w:hAnsi="Times New Roman" w:cs="Times New Roman"/>
          <w:sz w:val="24"/>
          <w:szCs w:val="24"/>
        </w:rPr>
        <w:t xml:space="preserve"> noteikumos netiek nedz nodrošināta pēctecība un pārmantojamība, nedz arī tiesiskā paļāvība par iepriekš lemto attiecībā uz termiņa notecējumu izdienas pabalstu izmaksai Birojā. </w:t>
      </w:r>
      <w:r>
        <w:br/>
      </w:r>
      <w:r>
        <w:rPr>
          <w:rFonts w:ascii="Times New Roman" w:hAnsi="Times New Roman" w:cs="Times New Roman"/>
          <w:sz w:val="24"/>
          <w:szCs w:val="24"/>
        </w:rPr>
        <w:t>Papildus Birojs vērš uzmanību, ka Satversmes tiesa, interpretējot Satversmes 91.panta pirmo teikumu, ir atzinusi, ka vienlīdzības princips liedz valsts institūcijām izdot tādas normas, kas bez saprātīga pamata pieļauj atšķirīgu attieksmi pret personām, kuras atrodas vienādos un pēc noteiktiem kritērijiem salīdzināmos apstākļos (</w:t>
      </w:r>
      <w:r>
        <w:rPr>
          <w:rFonts w:ascii="Times New Roman" w:hAnsi="Times New Roman" w:cs="Times New Roman"/>
          <w:i/>
          <w:iCs/>
          <w:sz w:val="24"/>
          <w:szCs w:val="24"/>
        </w:rPr>
        <w:t>sk. Satversmes tiesas 2001.gada 5.decembra sprieduma lietā Nr.2001-07-0103 secinājumu daļas 3.punktu</w:t>
      </w:r>
      <w:r>
        <w:rPr>
          <w:rFonts w:ascii="Times New Roman" w:hAnsi="Times New Roman" w:cs="Times New Roman"/>
          <w:sz w:val="24"/>
          <w:szCs w:val="24"/>
        </w:rPr>
        <w:t>).</w:t>
      </w:r>
    </w:p>
    <w:p w:rsidR="003929E5" w:rsidRDefault="003929E5" w:rsidP="003929E5">
      <w:pPr>
        <w:ind w:left="720"/>
        <w:rPr>
          <w:rFonts w:eastAsia="Times New Roman"/>
        </w:rPr>
      </w:pPr>
      <w:r>
        <w:rPr>
          <w:rFonts w:ascii="Arial" w:eastAsia="Times New Roman" w:hAnsi="Arial" w:cs="Arial"/>
          <w:sz w:val="20"/>
          <w:szCs w:val="20"/>
        </w:rPr>
        <w:t>Ar cieņu</w:t>
      </w:r>
      <w:r>
        <w:rPr>
          <w:rFonts w:eastAsia="Times New Roman"/>
        </w:rPr>
        <w:br/>
      </w:r>
      <w:r>
        <w:rPr>
          <w:rFonts w:eastAsia="Times New Roman"/>
        </w:rPr>
        <w:br/>
      </w:r>
      <w:r>
        <w:rPr>
          <w:rFonts w:ascii="Arial" w:eastAsia="Times New Roman" w:hAnsi="Arial" w:cs="Arial"/>
          <w:b/>
          <w:bCs/>
          <w:sz w:val="20"/>
          <w:szCs w:val="20"/>
        </w:rPr>
        <w:t>Diāna Stepiņa</w:t>
      </w:r>
      <w:r>
        <w:rPr>
          <w:rFonts w:eastAsia="Times New Roman"/>
        </w:rPr>
        <w:br/>
      </w:r>
      <w:r>
        <w:rPr>
          <w:rFonts w:ascii="Arial" w:eastAsia="Times New Roman" w:hAnsi="Arial" w:cs="Arial"/>
          <w:sz w:val="20"/>
          <w:szCs w:val="20"/>
        </w:rPr>
        <w:t>Korupcijas novēršanas un apkarošanas birojs</w:t>
      </w:r>
      <w:r>
        <w:rPr>
          <w:rFonts w:eastAsia="Times New Roman"/>
        </w:rPr>
        <w:br/>
      </w:r>
      <w:r>
        <w:rPr>
          <w:rFonts w:ascii="Arial" w:eastAsia="Times New Roman" w:hAnsi="Arial" w:cs="Arial"/>
          <w:sz w:val="20"/>
          <w:szCs w:val="20"/>
        </w:rPr>
        <w:t>Tālr. 20135653, 67797257</w:t>
      </w:r>
      <w:r>
        <w:rPr>
          <w:rFonts w:eastAsia="Times New Roman"/>
        </w:rPr>
        <w:br/>
      </w:r>
      <w:hyperlink r:id="rId4" w:history="1">
        <w:r>
          <w:rPr>
            <w:rStyle w:val="Hyperlink"/>
            <w:rFonts w:ascii="Arial" w:eastAsia="Times New Roman" w:hAnsi="Arial" w:cs="Arial"/>
            <w:sz w:val="20"/>
            <w:szCs w:val="20"/>
          </w:rPr>
          <w:t>Diana.Stepina@knab.gov.lv</w:t>
        </w:r>
      </w:hyperlink>
      <w:r>
        <w:rPr>
          <w:rFonts w:eastAsia="Times New Roman"/>
        </w:rPr>
        <w:br/>
      </w:r>
      <w:hyperlink r:id="rId5" w:history="1">
        <w:r>
          <w:rPr>
            <w:rStyle w:val="Hyperlink"/>
            <w:rFonts w:ascii="Arial" w:eastAsia="Times New Roman" w:hAnsi="Arial" w:cs="Arial"/>
            <w:sz w:val="20"/>
            <w:szCs w:val="20"/>
          </w:rPr>
          <w:t>www.knab.gov.lv</w:t>
        </w:r>
      </w:hyperlink>
      <w:r>
        <w:rPr>
          <w:rFonts w:eastAsia="Times New Roman"/>
        </w:rPr>
        <w:br/>
      </w:r>
      <w:r>
        <w:rPr>
          <w:rFonts w:eastAsia="Times New Roman"/>
          <w:noProof/>
        </w:rPr>
        <w:drawing>
          <wp:inline distT="0" distB="0" distL="0" distR="0">
            <wp:extent cx="1600200" cy="18364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1600200" cy="1836420"/>
                    </a:xfrm>
                    <a:prstGeom prst="rect">
                      <a:avLst/>
                    </a:prstGeom>
                    <a:noFill/>
                    <a:ln>
                      <a:noFill/>
                    </a:ln>
                  </pic:spPr>
                </pic:pic>
              </a:graphicData>
            </a:graphic>
          </wp:inline>
        </w:drawing>
      </w:r>
    </w:p>
    <w:p w:rsidR="00997039" w:rsidRDefault="00997039">
      <w:bookmarkStart w:id="0" w:name="_GoBack"/>
      <w:bookmarkEnd w:id="0"/>
    </w:p>
    <w:sectPr w:rsidR="00997039" w:rsidSect="00076C29">
      <w:pgSz w:w="11906" w:h="16838" w:code="9"/>
      <w:pgMar w:top="1418" w:right="1134" w:bottom="1134" w:left="1701" w:header="709"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9E5"/>
    <w:rsid w:val="00076C29"/>
    <w:rsid w:val="003929E5"/>
    <w:rsid w:val="0099703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D7D702-6EF3-4B05-9741-AD1A433BE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29E5"/>
    <w:pPr>
      <w:spacing w:after="0" w:line="240" w:lineRule="auto"/>
    </w:pPr>
    <w:rPr>
      <w:rFonts w:ascii="Calibri" w:hAnsi="Calibri" w:cs="Calibri"/>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929E5"/>
    <w:rPr>
      <w:color w:val="0000FF"/>
      <w:u w:val="single"/>
    </w:rPr>
  </w:style>
  <w:style w:type="paragraph" w:styleId="NormalWeb">
    <w:name w:val="Normal (Web)"/>
    <w:basedOn w:val="Normal"/>
    <w:uiPriority w:val="99"/>
    <w:semiHidden/>
    <w:unhideWhenUsed/>
    <w:rsid w:val="003929E5"/>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68583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cid:0__=4DBB0F35DFD92AB48f9e8a93df93@KNAB.GOV.LV" TargetMode="Externa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gif"/><Relationship Id="rId11" Type="http://schemas.openxmlformats.org/officeDocument/2006/relationships/customXml" Target="../customXml/item2.xml"/><Relationship Id="rId5" Type="http://schemas.openxmlformats.org/officeDocument/2006/relationships/hyperlink" Target="http://www.knab.gov.lv" TargetMode="External"/><Relationship Id="rId10" Type="http://schemas.openxmlformats.org/officeDocument/2006/relationships/customXml" Target="../customXml/item1.xml"/><Relationship Id="rId4" Type="http://schemas.openxmlformats.org/officeDocument/2006/relationships/hyperlink" Target="mailto:Diana.Stepina@knab.gov.lv"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36ACD9C704BFDB43AB1FD13C464DBE95" ma:contentTypeVersion="12" ma:contentTypeDescription="Izveidot jaunu dokumentu." ma:contentTypeScope="" ma:versionID="fed976e3170ddac5d23d372c427ad2bc">
  <xsd:schema xmlns:xsd="http://www.w3.org/2001/XMLSchema" xmlns:xs="http://www.w3.org/2001/XMLSchema" xmlns:p="http://schemas.microsoft.com/office/2006/metadata/properties" xmlns:ns2="901c9f71-8e3b-46a5-af80-6338f783ef2d" xmlns:ns3="5eea2664-1934-46d1-8c8d-a6d2e508accd" targetNamespace="http://schemas.microsoft.com/office/2006/metadata/properties" ma:root="true" ma:fieldsID="56b813e2183b81f53aede715b68ec0cc" ns2:_="" ns3:_="">
    <xsd:import namespace="901c9f71-8e3b-46a5-af80-6338f783ef2d"/>
    <xsd:import namespace="5eea2664-1934-46d1-8c8d-a6d2e508acc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DateTake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1c9f71-8e3b-46a5-af80-6338f783ef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ea2664-1934-46d1-8c8d-a6d2e508accd" elementFormDefault="qualified">
    <xsd:import namespace="http://schemas.microsoft.com/office/2006/documentManagement/types"/>
    <xsd:import namespace="http://schemas.microsoft.com/office/infopath/2007/PartnerControls"/>
    <xsd:element name="SharedWithUsers" ma:index="12"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5eea2664-1934-46d1-8c8d-a6d2e508accd">
      <UserInfo>
        <DisplayName/>
        <AccountId xsi:nil="true"/>
        <AccountType/>
      </UserInfo>
    </SharedWithUsers>
  </documentManagement>
</p:properties>
</file>

<file path=customXml/itemProps1.xml><?xml version="1.0" encoding="utf-8"?>
<ds:datastoreItem xmlns:ds="http://schemas.openxmlformats.org/officeDocument/2006/customXml" ds:itemID="{90F54FB7-949B-46E1-A99C-95B44B679912}"/>
</file>

<file path=customXml/itemProps2.xml><?xml version="1.0" encoding="utf-8"?>
<ds:datastoreItem xmlns:ds="http://schemas.openxmlformats.org/officeDocument/2006/customXml" ds:itemID="{E8716A7B-17D6-451F-B75D-48916ED6AD02}"/>
</file>

<file path=customXml/itemProps3.xml><?xml version="1.0" encoding="utf-8"?>
<ds:datastoreItem xmlns:ds="http://schemas.openxmlformats.org/officeDocument/2006/customXml" ds:itemID="{BFDBF6F0-5F49-4BC8-92ED-FDC8626F649C}"/>
</file>

<file path=docProps/app.xml><?xml version="1.0" encoding="utf-8"?>
<Properties xmlns="http://schemas.openxmlformats.org/officeDocument/2006/extended-properties" xmlns:vt="http://schemas.openxmlformats.org/officeDocument/2006/docPropsVTypes">
  <Template>Normal.dotm</Template>
  <TotalTime>1</TotalTime>
  <Pages>2</Pages>
  <Words>3718</Words>
  <Characters>2120</Characters>
  <Application>Microsoft Office Word</Application>
  <DocSecurity>0</DocSecurity>
  <Lines>17</Lines>
  <Paragraphs>11</Paragraphs>
  <ScaleCrop>false</ScaleCrop>
  <Company/>
  <LinksUpToDate>false</LinksUpToDate>
  <CharactersWithSpaces>5827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Inta Kroja</dc:creator>
  <cp:keywords/>
  <dc:description/>
  <cp:lastModifiedBy>Inta Kroja</cp:lastModifiedBy>
  <cp:revision>1</cp:revision>
  <dcterms:created xsi:type="dcterms:W3CDTF">2020-07-15T13:38:00Z</dcterms:created>
  <dcterms:modified xsi:type="dcterms:W3CDTF">2020-07-15T13:39:00Z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0x01010036ACD9C704BFDB43AB1FD13C464DBE95</vt:lpwstr>
  </property>
  <property fmtid="{D5CDD505-2E9C-101B-9397-08002B2CF9AE}" pid="3" name="Order">
    <vt:r8>382800</vt:r8>
  </property>
  <property fmtid="{D5CDD505-2E9C-101B-9397-08002B2CF9AE}" pid="4" name="xd_Signature">
    <vt:bool>false</vt:bool>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TemplateUrl">
    <vt:lpwstr/>
  </property>
</Properties>
</file>